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DEEE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F3F03">
        <w:rPr>
          <w:b/>
          <w:bCs/>
          <w:color w:val="auto"/>
          <w:sz w:val="32"/>
          <w:szCs w:val="32"/>
        </w:rPr>
        <w:t>Smlouva o spolupráci</w:t>
      </w:r>
    </w:p>
    <w:p w14:paraId="18B90FEE" w14:textId="77777777" w:rsidR="004A6A15" w:rsidRPr="004F3F03" w:rsidRDefault="004A6A15" w:rsidP="00986887">
      <w:pPr>
        <w:pStyle w:val="Default"/>
        <w:jc w:val="both"/>
        <w:rPr>
          <w:i/>
          <w:color w:val="auto"/>
          <w:sz w:val="22"/>
          <w:szCs w:val="22"/>
        </w:rPr>
      </w:pPr>
      <w:r w:rsidRPr="004F3F03">
        <w:rPr>
          <w:i/>
          <w:color w:val="auto"/>
          <w:sz w:val="22"/>
          <w:szCs w:val="22"/>
        </w:rPr>
        <w:t>Tato smlouva se uzavírá na základě dobrovolné a vzájemné dohody smluvních stran a upravuje předmět, povinnosti, sankce a formy spolupráce ve vymezených oblastech.</w:t>
      </w:r>
    </w:p>
    <w:p w14:paraId="0EA4CB2C" w14:textId="77777777" w:rsidR="004A6A15" w:rsidRPr="004F3F03" w:rsidRDefault="004A6A15" w:rsidP="004A6A15">
      <w:pPr>
        <w:pStyle w:val="Default"/>
        <w:rPr>
          <w:i/>
          <w:color w:val="auto"/>
          <w:sz w:val="22"/>
          <w:szCs w:val="22"/>
        </w:rPr>
      </w:pPr>
    </w:p>
    <w:p w14:paraId="63130E51" w14:textId="77777777" w:rsidR="004A6A15" w:rsidRDefault="004A6A15" w:rsidP="004A6A15">
      <w:pPr>
        <w:pStyle w:val="Default"/>
        <w:jc w:val="center"/>
        <w:rPr>
          <w:b/>
          <w:color w:val="auto"/>
          <w:sz w:val="22"/>
          <w:szCs w:val="22"/>
        </w:rPr>
      </w:pPr>
    </w:p>
    <w:p w14:paraId="6D192BE0" w14:textId="77777777" w:rsidR="004A6A15" w:rsidRPr="004F3F03" w:rsidRDefault="004A6A15" w:rsidP="004A6A15">
      <w:pPr>
        <w:pStyle w:val="Default"/>
        <w:jc w:val="center"/>
        <w:rPr>
          <w:b/>
          <w:color w:val="auto"/>
          <w:sz w:val="22"/>
          <w:szCs w:val="22"/>
        </w:rPr>
      </w:pPr>
      <w:r w:rsidRPr="004F3F03">
        <w:rPr>
          <w:b/>
          <w:color w:val="auto"/>
          <w:sz w:val="22"/>
          <w:szCs w:val="22"/>
        </w:rPr>
        <w:t>Článek I.</w:t>
      </w:r>
    </w:p>
    <w:p w14:paraId="79B52EDA" w14:textId="77777777" w:rsidR="004A6A15" w:rsidRPr="004F3F03" w:rsidRDefault="004A6A15" w:rsidP="004A6A15">
      <w:pPr>
        <w:pStyle w:val="Default"/>
        <w:jc w:val="center"/>
        <w:rPr>
          <w:b/>
          <w:color w:val="auto"/>
          <w:sz w:val="22"/>
          <w:szCs w:val="22"/>
        </w:rPr>
      </w:pPr>
      <w:r w:rsidRPr="004F3F03">
        <w:rPr>
          <w:b/>
          <w:color w:val="auto"/>
          <w:sz w:val="22"/>
          <w:szCs w:val="22"/>
        </w:rPr>
        <w:t>Smluvní strany</w:t>
      </w:r>
    </w:p>
    <w:p w14:paraId="36D3526A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640D71AA" w14:textId="2886A33A" w:rsidR="004A6A15" w:rsidRPr="004F3F03" w:rsidRDefault="004A6A15" w:rsidP="004A6A15">
      <w:pPr>
        <w:pStyle w:val="Default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Č</w:t>
      </w:r>
      <w:r w:rsidR="00893ED5">
        <w:rPr>
          <w:b/>
          <w:bCs/>
          <w:color w:val="auto"/>
          <w:sz w:val="22"/>
          <w:szCs w:val="22"/>
        </w:rPr>
        <w:t xml:space="preserve">eská </w:t>
      </w:r>
      <w:proofErr w:type="gramStart"/>
      <w:r w:rsidR="00893ED5">
        <w:rPr>
          <w:b/>
          <w:bCs/>
          <w:color w:val="auto"/>
          <w:sz w:val="22"/>
          <w:szCs w:val="22"/>
        </w:rPr>
        <w:t>republika</w:t>
      </w:r>
      <w:r w:rsidRPr="004F3F03">
        <w:rPr>
          <w:b/>
          <w:bCs/>
          <w:color w:val="auto"/>
          <w:sz w:val="22"/>
          <w:szCs w:val="22"/>
        </w:rPr>
        <w:t xml:space="preserve"> - Ústřední</w:t>
      </w:r>
      <w:proofErr w:type="gramEnd"/>
      <w:r w:rsidRPr="004F3F03">
        <w:rPr>
          <w:b/>
          <w:bCs/>
          <w:color w:val="auto"/>
          <w:sz w:val="22"/>
          <w:szCs w:val="22"/>
        </w:rPr>
        <w:t xml:space="preserve"> kontrolní a zkušební ústav zemědělský</w:t>
      </w:r>
    </w:p>
    <w:p w14:paraId="72CE79B2" w14:textId="77777777" w:rsidR="004A6A15" w:rsidRPr="00DB37F7" w:rsidRDefault="004A6A15" w:rsidP="004A6A15">
      <w:pPr>
        <w:pStyle w:val="Default"/>
        <w:rPr>
          <w:color w:val="auto"/>
          <w:sz w:val="22"/>
          <w:szCs w:val="22"/>
        </w:rPr>
      </w:pPr>
      <w:r w:rsidRPr="00307829">
        <w:rPr>
          <w:color w:val="auto"/>
          <w:sz w:val="22"/>
          <w:szCs w:val="22"/>
        </w:rPr>
        <w:t>organizační složka státu</w:t>
      </w:r>
    </w:p>
    <w:p w14:paraId="761F93ED" w14:textId="333AAE8A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IČ</w:t>
      </w:r>
      <w:r w:rsidR="00AE152D">
        <w:rPr>
          <w:color w:val="auto"/>
          <w:sz w:val="22"/>
          <w:szCs w:val="22"/>
        </w:rPr>
        <w:t>O</w:t>
      </w:r>
      <w:r w:rsidRPr="004F3F03">
        <w:rPr>
          <w:color w:val="auto"/>
          <w:sz w:val="22"/>
          <w:szCs w:val="22"/>
        </w:rPr>
        <w:t>: 00020338</w:t>
      </w:r>
    </w:p>
    <w:p w14:paraId="347AEB73" w14:textId="27FF845D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se sídlem: Hroznová </w:t>
      </w:r>
      <w:r w:rsidR="00893ED5">
        <w:rPr>
          <w:color w:val="auto"/>
          <w:sz w:val="22"/>
          <w:szCs w:val="22"/>
        </w:rPr>
        <w:t>63/</w:t>
      </w:r>
      <w:r w:rsidRPr="004F3F03">
        <w:rPr>
          <w:color w:val="auto"/>
          <w:sz w:val="22"/>
          <w:szCs w:val="22"/>
        </w:rPr>
        <w:t>2, 6</w:t>
      </w:r>
      <w:r w:rsidR="00893ED5">
        <w:rPr>
          <w:color w:val="auto"/>
          <w:sz w:val="22"/>
          <w:szCs w:val="22"/>
        </w:rPr>
        <w:t>03</w:t>
      </w:r>
      <w:r w:rsidRPr="004F3F03">
        <w:rPr>
          <w:color w:val="auto"/>
          <w:sz w:val="22"/>
          <w:szCs w:val="22"/>
        </w:rPr>
        <w:t xml:space="preserve"> 0</w:t>
      </w:r>
      <w:r w:rsidR="00893ED5">
        <w:rPr>
          <w:color w:val="auto"/>
          <w:sz w:val="22"/>
          <w:szCs w:val="22"/>
        </w:rPr>
        <w:t>0</w:t>
      </w:r>
      <w:r w:rsidRPr="004F3F03">
        <w:rPr>
          <w:color w:val="auto"/>
          <w:sz w:val="22"/>
          <w:szCs w:val="22"/>
        </w:rPr>
        <w:t xml:space="preserve"> Brno </w:t>
      </w:r>
    </w:p>
    <w:p w14:paraId="6AA77A75" w14:textId="2CC30347" w:rsidR="004A6A15" w:rsidRPr="004F3F03" w:rsidRDefault="008059A2" w:rsidP="004A6A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jejímž jménem jedná</w:t>
      </w:r>
      <w:r w:rsidR="004A6A15" w:rsidRPr="004F3F03">
        <w:rPr>
          <w:color w:val="auto"/>
          <w:sz w:val="22"/>
          <w:szCs w:val="22"/>
        </w:rPr>
        <w:t xml:space="preserve"> Ing. Daniel Jurečk</w:t>
      </w:r>
      <w:r>
        <w:rPr>
          <w:color w:val="auto"/>
          <w:sz w:val="22"/>
          <w:szCs w:val="22"/>
        </w:rPr>
        <w:t>a, ředitel</w:t>
      </w:r>
    </w:p>
    <w:p w14:paraId="3611D8FC" w14:textId="1085A247" w:rsidR="004A6A15" w:rsidRPr="004F3F03" w:rsidRDefault="004A6A15" w:rsidP="004A6A15">
      <w:pPr>
        <w:pStyle w:val="Default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(dále jen „</w:t>
      </w:r>
      <w:r w:rsidRPr="004F3F03">
        <w:rPr>
          <w:b/>
          <w:bCs/>
          <w:iCs/>
          <w:color w:val="auto"/>
          <w:sz w:val="22"/>
          <w:szCs w:val="22"/>
        </w:rPr>
        <w:t>ÚKZÚZ</w:t>
      </w:r>
      <w:r w:rsidR="00AE152D">
        <w:rPr>
          <w:b/>
          <w:bCs/>
          <w:color w:val="auto"/>
          <w:sz w:val="22"/>
          <w:szCs w:val="22"/>
        </w:rPr>
        <w:t>“</w:t>
      </w:r>
      <w:r w:rsidRPr="004F3F03">
        <w:rPr>
          <w:b/>
          <w:bCs/>
          <w:color w:val="auto"/>
          <w:sz w:val="22"/>
          <w:szCs w:val="22"/>
        </w:rPr>
        <w:t xml:space="preserve">) </w:t>
      </w:r>
    </w:p>
    <w:p w14:paraId="65BE0666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46086280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a </w:t>
      </w:r>
    </w:p>
    <w:p w14:paraId="4AB7B479" w14:textId="77777777" w:rsidR="004A6A15" w:rsidRDefault="004A6A15" w:rsidP="004A6A15">
      <w:pPr>
        <w:pStyle w:val="Default"/>
        <w:rPr>
          <w:color w:val="auto"/>
          <w:sz w:val="22"/>
          <w:szCs w:val="22"/>
        </w:rPr>
      </w:pPr>
    </w:p>
    <w:p w14:paraId="049355FC" w14:textId="77777777" w:rsidR="00D5343B" w:rsidRDefault="00D5343B" w:rsidP="004A6A15">
      <w:pPr>
        <w:pStyle w:val="Default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5343B" w14:paraId="64FC7005" w14:textId="77777777" w:rsidTr="00CD0368">
        <w:tc>
          <w:tcPr>
            <w:tcW w:w="2547" w:type="dxa"/>
          </w:tcPr>
          <w:p w14:paraId="235657BA" w14:textId="77777777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 w:rsidRPr="004F3F03">
              <w:rPr>
                <w:color w:val="auto"/>
                <w:sz w:val="22"/>
                <w:szCs w:val="22"/>
              </w:rPr>
              <w:t xml:space="preserve">Název organizace: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</w:tcPr>
          <w:p w14:paraId="4270305E" w14:textId="5E163262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object w:dxaOrig="225" w:dyaOrig="225" w14:anchorId="6A735B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10.5pt;height:18pt" o:ole="">
                  <v:imagedata r:id="rId8" o:title=""/>
                </v:shape>
                <w:control r:id="rId9" w:name="TextBox1" w:shapeid="_x0000_i1047"/>
              </w:object>
            </w:r>
          </w:p>
        </w:tc>
      </w:tr>
      <w:tr w:rsidR="00D5343B" w14:paraId="356ACEEF" w14:textId="77777777" w:rsidTr="00CD0368">
        <w:tc>
          <w:tcPr>
            <w:tcW w:w="2547" w:type="dxa"/>
          </w:tcPr>
          <w:p w14:paraId="436262E8" w14:textId="77777777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 w:rsidRPr="004F3F03">
              <w:rPr>
                <w:color w:val="auto"/>
                <w:sz w:val="22"/>
                <w:szCs w:val="22"/>
              </w:rPr>
              <w:t xml:space="preserve">IČ: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</w:tcPr>
          <w:p w14:paraId="3079381F" w14:textId="77CD3FCF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object w:dxaOrig="225" w:dyaOrig="225" w14:anchorId="6695915A">
                <v:shape id="_x0000_i1049" type="#_x0000_t75" style="width:1in;height:18pt" o:ole="">
                  <v:imagedata r:id="rId10" o:title=""/>
                </v:shape>
                <w:control r:id="rId11" w:name="TextBox2" w:shapeid="_x0000_i1049"/>
              </w:object>
            </w:r>
          </w:p>
        </w:tc>
      </w:tr>
      <w:tr w:rsidR="00D5343B" w14:paraId="743F9901" w14:textId="77777777" w:rsidTr="00CD0368">
        <w:tc>
          <w:tcPr>
            <w:tcW w:w="2547" w:type="dxa"/>
          </w:tcPr>
          <w:p w14:paraId="5D918036" w14:textId="77777777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 w:rsidRPr="004F3F03">
              <w:rPr>
                <w:color w:val="auto"/>
                <w:sz w:val="22"/>
                <w:szCs w:val="22"/>
              </w:rPr>
              <w:t>se sídlem:</w:t>
            </w:r>
          </w:p>
        </w:tc>
        <w:tc>
          <w:tcPr>
            <w:tcW w:w="6515" w:type="dxa"/>
          </w:tcPr>
          <w:p w14:paraId="31F08C35" w14:textId="61837B8A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object w:dxaOrig="225" w:dyaOrig="225" w14:anchorId="12F60749">
                <v:shape id="_x0000_i1051" type="#_x0000_t75" style="width:310.5pt;height:18pt" o:ole="">
                  <v:imagedata r:id="rId8" o:title=""/>
                </v:shape>
                <w:control r:id="rId12" w:name="TextBox3" w:shapeid="_x0000_i1051"/>
              </w:object>
            </w:r>
          </w:p>
        </w:tc>
      </w:tr>
      <w:tr w:rsidR="00D5343B" w14:paraId="51F50BB3" w14:textId="77777777" w:rsidTr="00CD0368">
        <w:tc>
          <w:tcPr>
            <w:tcW w:w="2547" w:type="dxa"/>
          </w:tcPr>
          <w:p w14:paraId="46DDADB4" w14:textId="77777777" w:rsidR="00D5343B" w:rsidRDefault="00D5343B" w:rsidP="00D5343B">
            <w:pPr>
              <w:pStyle w:val="Default"/>
              <w:tabs>
                <w:tab w:val="left" w:pos="2670"/>
              </w:tabs>
              <w:rPr>
                <w:color w:val="auto"/>
                <w:sz w:val="22"/>
                <w:szCs w:val="22"/>
              </w:rPr>
            </w:pPr>
            <w:r w:rsidRPr="004F3F03">
              <w:rPr>
                <w:color w:val="auto"/>
                <w:sz w:val="22"/>
                <w:szCs w:val="22"/>
              </w:rPr>
              <w:t>zastoupen:</w:t>
            </w:r>
          </w:p>
          <w:p w14:paraId="415DB36C" w14:textId="77777777" w:rsidR="00D5343B" w:rsidRDefault="00D5343B" w:rsidP="00D5343B">
            <w:pPr>
              <w:pStyle w:val="Default"/>
              <w:tabs>
                <w:tab w:val="left" w:pos="2670"/>
              </w:tabs>
              <w:rPr>
                <w:color w:val="auto"/>
                <w:sz w:val="22"/>
                <w:szCs w:val="22"/>
              </w:rPr>
            </w:pPr>
            <w:r w:rsidRPr="004F3F03">
              <w:rPr>
                <w:b/>
                <w:bCs/>
                <w:color w:val="auto"/>
                <w:sz w:val="22"/>
                <w:szCs w:val="22"/>
              </w:rPr>
              <w:t>(dále jen „</w:t>
            </w:r>
            <w:r w:rsidRPr="004F3F03">
              <w:rPr>
                <w:b/>
                <w:bCs/>
                <w:iCs/>
                <w:color w:val="auto"/>
                <w:sz w:val="22"/>
                <w:szCs w:val="22"/>
              </w:rPr>
              <w:t xml:space="preserve">vzdělávací </w:t>
            </w:r>
            <w:proofErr w:type="gramStart"/>
            <w:r w:rsidRPr="004F3F03">
              <w:rPr>
                <w:b/>
                <w:bCs/>
                <w:iCs/>
                <w:color w:val="auto"/>
                <w:sz w:val="22"/>
                <w:szCs w:val="22"/>
              </w:rPr>
              <w:t>zařízení</w:t>
            </w:r>
            <w:r w:rsidRPr="004F3F03">
              <w:rPr>
                <w:b/>
                <w:bCs/>
                <w:color w:val="auto"/>
                <w:sz w:val="22"/>
                <w:szCs w:val="22"/>
              </w:rPr>
              <w:t>„</w:t>
            </w:r>
            <w:proofErr w:type="gramEnd"/>
            <w:r w:rsidRPr="004F3F03">
              <w:rPr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6515" w:type="dxa"/>
          </w:tcPr>
          <w:p w14:paraId="42B918B1" w14:textId="5863A504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object w:dxaOrig="225" w:dyaOrig="225" w14:anchorId="038229FB">
                <v:shape id="_x0000_i1053" type="#_x0000_t75" style="width:310.5pt;height:18pt" o:ole="">
                  <v:imagedata r:id="rId8" o:title=""/>
                </v:shape>
                <w:control r:id="rId13" w:name="TextBox4" w:shapeid="_x0000_i1053"/>
              </w:object>
            </w:r>
          </w:p>
        </w:tc>
      </w:tr>
      <w:tr w:rsidR="00D5343B" w14:paraId="5D02D2A5" w14:textId="77777777" w:rsidTr="00CD0368">
        <w:tc>
          <w:tcPr>
            <w:tcW w:w="2547" w:type="dxa"/>
          </w:tcPr>
          <w:p w14:paraId="40CEC438" w14:textId="77777777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 w:rsidRPr="004F3F03">
              <w:rPr>
                <w:color w:val="auto"/>
                <w:sz w:val="22"/>
                <w:szCs w:val="22"/>
              </w:rPr>
              <w:t xml:space="preserve">Číslo pověření od </w:t>
            </w:r>
            <w:proofErr w:type="spellStart"/>
            <w:r w:rsidRPr="004F3F03">
              <w:rPr>
                <w:color w:val="auto"/>
                <w:sz w:val="22"/>
                <w:szCs w:val="22"/>
              </w:rPr>
              <w:t>MZe</w:t>
            </w:r>
            <w:proofErr w:type="spellEnd"/>
            <w:r w:rsidRPr="004F3F03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515" w:type="dxa"/>
          </w:tcPr>
          <w:p w14:paraId="574A6B4A" w14:textId="1F4C048C" w:rsidR="00D5343B" w:rsidRDefault="00D5343B" w:rsidP="004A6A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object w:dxaOrig="225" w:dyaOrig="225" w14:anchorId="339126F9">
                <v:shape id="_x0000_i1055" type="#_x0000_t75" style="width:310.5pt;height:18pt" o:ole="">
                  <v:imagedata r:id="rId8" o:title=""/>
                </v:shape>
                <w:control r:id="rId14" w:name="TextBox5" w:shapeid="_x0000_i1055"/>
              </w:object>
            </w:r>
          </w:p>
        </w:tc>
      </w:tr>
    </w:tbl>
    <w:p w14:paraId="5057D8D6" w14:textId="77777777" w:rsidR="004A6A15" w:rsidRPr="004F3F03" w:rsidRDefault="004A6A15" w:rsidP="00D5343B">
      <w:pPr>
        <w:pStyle w:val="Default"/>
        <w:rPr>
          <w:color w:val="auto"/>
          <w:sz w:val="22"/>
          <w:szCs w:val="22"/>
        </w:rPr>
      </w:pPr>
    </w:p>
    <w:p w14:paraId="55265BDD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3B9F0A1F" w14:textId="07F01B22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uzavřely tuto </w:t>
      </w:r>
      <w:r w:rsidRPr="004F3F03">
        <w:rPr>
          <w:b/>
          <w:bCs/>
          <w:color w:val="auto"/>
          <w:sz w:val="22"/>
          <w:szCs w:val="22"/>
        </w:rPr>
        <w:t>smlouvu o spolupráci, podle § 1746 odst. 2 z</w:t>
      </w:r>
      <w:r w:rsidR="00986887">
        <w:rPr>
          <w:b/>
          <w:bCs/>
          <w:color w:val="auto"/>
          <w:sz w:val="22"/>
          <w:szCs w:val="22"/>
        </w:rPr>
        <w:t>ákona</w:t>
      </w:r>
      <w:r w:rsidRPr="004F3F03">
        <w:rPr>
          <w:b/>
          <w:bCs/>
          <w:color w:val="auto"/>
          <w:sz w:val="22"/>
          <w:szCs w:val="22"/>
        </w:rPr>
        <w:t xml:space="preserve"> č. 89/2012</w:t>
      </w:r>
      <w:r w:rsidR="00986887">
        <w:rPr>
          <w:b/>
          <w:bCs/>
          <w:color w:val="auto"/>
          <w:sz w:val="22"/>
          <w:szCs w:val="22"/>
        </w:rPr>
        <w:t xml:space="preserve"> Sb</w:t>
      </w:r>
      <w:r w:rsidRPr="004F3F03">
        <w:rPr>
          <w:b/>
          <w:bCs/>
          <w:color w:val="auto"/>
          <w:sz w:val="22"/>
          <w:szCs w:val="22"/>
        </w:rPr>
        <w:t>., občanského zákoníku</w:t>
      </w:r>
      <w:r w:rsidR="00CE306A">
        <w:rPr>
          <w:b/>
          <w:bCs/>
          <w:color w:val="auto"/>
          <w:sz w:val="22"/>
          <w:szCs w:val="22"/>
        </w:rPr>
        <w:t>, ve znění pozdějších předpisů</w:t>
      </w:r>
    </w:p>
    <w:p w14:paraId="5F54231F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39D450A0" w14:textId="77777777" w:rsidR="00943D92" w:rsidRDefault="00943D92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125E757" w14:textId="77777777" w:rsidR="004A6A15" w:rsidRPr="004F3F03" w:rsidRDefault="00D14938" w:rsidP="004A6A1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II.</w:t>
      </w:r>
    </w:p>
    <w:p w14:paraId="4628A695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Předmět smlouvy</w:t>
      </w:r>
    </w:p>
    <w:p w14:paraId="208B81E4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2302C08D" w14:textId="65D6773F" w:rsidR="004A6A15" w:rsidRPr="001135C8" w:rsidRDefault="00CC3329" w:rsidP="00FB76C1">
      <w:pPr>
        <w:pStyle w:val="Default"/>
        <w:numPr>
          <w:ilvl w:val="0"/>
          <w:numId w:val="1"/>
        </w:numPr>
        <w:spacing w:after="240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Předmětem smlouvy je s</w:t>
      </w:r>
      <w:r w:rsidR="004A6A15" w:rsidRPr="001135C8">
        <w:rPr>
          <w:color w:val="auto"/>
          <w:sz w:val="22"/>
          <w:szCs w:val="22"/>
        </w:rPr>
        <w:t>polupráce</w:t>
      </w:r>
      <w:r w:rsidR="00541820" w:rsidRPr="001135C8">
        <w:rPr>
          <w:color w:val="auto"/>
          <w:sz w:val="22"/>
          <w:szCs w:val="22"/>
        </w:rPr>
        <w:t xml:space="preserve"> ÚKZÚZ a vzdělávacího zařízení</w:t>
      </w:r>
      <w:r w:rsidR="001135C8">
        <w:rPr>
          <w:color w:val="auto"/>
          <w:sz w:val="22"/>
          <w:szCs w:val="22"/>
        </w:rPr>
        <w:t xml:space="preserve"> p</w:t>
      </w:r>
      <w:r w:rsidR="005B2D77" w:rsidRPr="001135C8">
        <w:rPr>
          <w:color w:val="auto"/>
          <w:sz w:val="22"/>
          <w:szCs w:val="22"/>
        </w:rPr>
        <w:t xml:space="preserve">ověřeného rozhodnutím </w:t>
      </w:r>
      <w:proofErr w:type="spellStart"/>
      <w:r w:rsidR="005B2D77" w:rsidRPr="001135C8">
        <w:rPr>
          <w:color w:val="auto"/>
          <w:sz w:val="22"/>
          <w:szCs w:val="22"/>
        </w:rPr>
        <w:t>MZe</w:t>
      </w:r>
      <w:proofErr w:type="spellEnd"/>
      <w:r w:rsidR="005B2D77" w:rsidRPr="001135C8">
        <w:rPr>
          <w:color w:val="auto"/>
          <w:sz w:val="22"/>
          <w:szCs w:val="22"/>
        </w:rPr>
        <w:t xml:space="preserve"> </w:t>
      </w:r>
      <w:r w:rsidR="00F16E05" w:rsidRPr="001135C8">
        <w:rPr>
          <w:color w:val="auto"/>
          <w:sz w:val="22"/>
          <w:szCs w:val="22"/>
        </w:rPr>
        <w:t xml:space="preserve">č. j: </w:t>
      </w:r>
      <w:r w:rsidR="00F16E05">
        <w:object w:dxaOrig="225" w:dyaOrig="225" w14:anchorId="1353A939">
          <v:shape id="_x0000_i1057" type="#_x0000_t75" style="width:108pt;height:18pt" o:ole="">
            <v:imagedata r:id="rId15" o:title=""/>
          </v:shape>
          <w:control r:id="rId16" w:name="TextBox6" w:shapeid="_x0000_i1057"/>
        </w:object>
      </w:r>
      <w:r w:rsidR="00F16E05" w:rsidRPr="001135C8">
        <w:rPr>
          <w:color w:val="auto"/>
          <w:sz w:val="22"/>
          <w:szCs w:val="22"/>
        </w:rPr>
        <w:t xml:space="preserve"> </w:t>
      </w:r>
      <w:r w:rsidR="001135C8" w:rsidRPr="001135C8">
        <w:rPr>
          <w:color w:val="auto"/>
          <w:sz w:val="22"/>
          <w:szCs w:val="22"/>
        </w:rPr>
        <w:t xml:space="preserve"> </w:t>
      </w:r>
      <w:r w:rsidR="005B2D77" w:rsidRPr="001135C8">
        <w:rPr>
          <w:color w:val="auto"/>
          <w:sz w:val="22"/>
          <w:szCs w:val="22"/>
        </w:rPr>
        <w:t xml:space="preserve">ze dne </w:t>
      </w:r>
      <w:r w:rsidR="001135C8">
        <w:rPr>
          <w:color w:val="auto"/>
          <w:sz w:val="22"/>
          <w:szCs w:val="22"/>
        </w:rPr>
        <w:t xml:space="preserve"> </w:t>
      </w:r>
      <w:r w:rsidR="001135C8">
        <w:object w:dxaOrig="225" w:dyaOrig="225" w14:anchorId="25C0502A">
          <v:shape id="_x0000_i1059" type="#_x0000_t75" style="width:103.5pt;height:18pt" o:ole="">
            <v:imagedata r:id="rId17" o:title=""/>
          </v:shape>
          <w:control r:id="rId18" w:name="TextBox61" w:shapeid="_x0000_i1059"/>
        </w:object>
      </w:r>
      <w:r w:rsidR="001135C8" w:rsidRPr="004F3F03">
        <w:rPr>
          <w:color w:val="auto"/>
          <w:sz w:val="22"/>
          <w:szCs w:val="22"/>
        </w:rPr>
        <w:t xml:space="preserve"> </w:t>
      </w:r>
      <w:r w:rsidR="004A6A15" w:rsidRPr="001135C8">
        <w:rPr>
          <w:color w:val="auto"/>
          <w:sz w:val="22"/>
          <w:szCs w:val="22"/>
        </w:rPr>
        <w:t xml:space="preserve">na úseku osvědčování odborné způsobilosti pro nakládání s přípravky na ochranu rostlin podle §§ 86 – </w:t>
      </w:r>
      <w:proofErr w:type="gramStart"/>
      <w:r w:rsidR="004A6A15" w:rsidRPr="001135C8">
        <w:rPr>
          <w:color w:val="auto"/>
          <w:sz w:val="22"/>
          <w:szCs w:val="22"/>
        </w:rPr>
        <w:t>86b</w:t>
      </w:r>
      <w:proofErr w:type="gramEnd"/>
      <w:r w:rsidR="004A6A15" w:rsidRPr="001135C8">
        <w:rPr>
          <w:color w:val="auto"/>
          <w:sz w:val="22"/>
          <w:szCs w:val="22"/>
        </w:rPr>
        <w:t xml:space="preserve"> zákona č.</w:t>
      </w:r>
      <w:r w:rsidR="00AE152D">
        <w:rPr>
          <w:color w:val="auto"/>
          <w:sz w:val="22"/>
          <w:szCs w:val="22"/>
        </w:rPr>
        <w:t> </w:t>
      </w:r>
      <w:r w:rsidR="004A6A15" w:rsidRPr="001135C8">
        <w:rPr>
          <w:color w:val="auto"/>
          <w:sz w:val="22"/>
          <w:szCs w:val="22"/>
        </w:rPr>
        <w:t xml:space="preserve">326/2004 Sb., o rostlinolékařské péči a o změně některých souvisejících </w:t>
      </w:r>
      <w:r w:rsidR="00AE152D">
        <w:rPr>
          <w:color w:val="auto"/>
          <w:sz w:val="22"/>
          <w:szCs w:val="22"/>
        </w:rPr>
        <w:t>zákonů</w:t>
      </w:r>
      <w:r w:rsidR="004A6A15" w:rsidRPr="001135C8">
        <w:rPr>
          <w:color w:val="auto"/>
          <w:sz w:val="22"/>
          <w:szCs w:val="22"/>
        </w:rPr>
        <w:t xml:space="preserve">, </w:t>
      </w:r>
      <w:r w:rsidR="00C00A07" w:rsidRPr="001135C8">
        <w:rPr>
          <w:color w:val="auto"/>
          <w:sz w:val="22"/>
          <w:szCs w:val="22"/>
        </w:rPr>
        <w:t>ve znění pozdějších předpisů</w:t>
      </w:r>
      <w:r w:rsidR="004A6A15" w:rsidRPr="001135C8">
        <w:rPr>
          <w:color w:val="auto"/>
          <w:sz w:val="22"/>
          <w:szCs w:val="22"/>
        </w:rPr>
        <w:t xml:space="preserve"> (dále jen „zákon“). </w:t>
      </w:r>
    </w:p>
    <w:p w14:paraId="3BA1A7F5" w14:textId="5A932E6B" w:rsidR="004A6A15" w:rsidRPr="00031933" w:rsidRDefault="004A6A15" w:rsidP="00307829">
      <w:pPr>
        <w:pStyle w:val="Default"/>
        <w:numPr>
          <w:ilvl w:val="0"/>
          <w:numId w:val="1"/>
        </w:numPr>
        <w:spacing w:after="240"/>
        <w:ind w:left="714" w:hanging="35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Tato smlouva upravuje bezplatnou spolupráci ÚKZÚZ a vzdělávacího zařízení podílejících se na procesu vydávání a evidování osvědčení o odborné způsobilosti (dále jen „OZ“) pro</w:t>
      </w:r>
      <w:r w:rsidR="00AE5006">
        <w:rPr>
          <w:color w:val="auto"/>
          <w:sz w:val="22"/>
          <w:szCs w:val="22"/>
        </w:rPr>
        <w:t> </w:t>
      </w:r>
      <w:r w:rsidRPr="004F3F03">
        <w:rPr>
          <w:color w:val="auto"/>
          <w:sz w:val="22"/>
          <w:szCs w:val="22"/>
        </w:rPr>
        <w:t>nakládání s přípravky na ochranu rostlin dle zákona a vyhlášky č.</w:t>
      </w:r>
      <w:r w:rsidR="00C00A07">
        <w:rPr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>206/2012 Sb., o odborné způsobilosti pro nakládání s</w:t>
      </w:r>
      <w:r w:rsidR="00A7401C">
        <w:rPr>
          <w:color w:val="auto"/>
          <w:sz w:val="22"/>
          <w:szCs w:val="22"/>
        </w:rPr>
        <w:t> </w:t>
      </w:r>
      <w:r w:rsidRPr="004F3F03">
        <w:rPr>
          <w:color w:val="auto"/>
          <w:sz w:val="22"/>
          <w:szCs w:val="22"/>
        </w:rPr>
        <w:t>přípravky</w:t>
      </w:r>
      <w:r w:rsidR="00A7401C" w:rsidRPr="00031933">
        <w:rPr>
          <w:color w:val="auto"/>
          <w:sz w:val="22"/>
          <w:szCs w:val="22"/>
        </w:rPr>
        <w:t xml:space="preserve">, </w:t>
      </w:r>
      <w:r w:rsidR="00C00A07" w:rsidRPr="00C00A07">
        <w:rPr>
          <w:color w:val="auto"/>
          <w:sz w:val="22"/>
          <w:szCs w:val="22"/>
        </w:rPr>
        <w:t>ve znění pozdějších předpisů</w:t>
      </w:r>
      <w:r w:rsidR="00A7401C" w:rsidRPr="00031933">
        <w:rPr>
          <w:color w:val="auto"/>
          <w:sz w:val="22"/>
          <w:szCs w:val="22"/>
        </w:rPr>
        <w:t>.</w:t>
      </w:r>
    </w:p>
    <w:p w14:paraId="43B52776" w14:textId="490423D6" w:rsidR="004A6A15" w:rsidRPr="004F3F03" w:rsidRDefault="004A6A15" w:rsidP="00A56550">
      <w:pPr>
        <w:pStyle w:val="Default"/>
        <w:numPr>
          <w:ilvl w:val="0"/>
          <w:numId w:val="1"/>
        </w:numPr>
        <w:tabs>
          <w:tab w:val="center" w:pos="4536"/>
        </w:tabs>
        <w:rPr>
          <w:color w:val="auto"/>
          <w:sz w:val="22"/>
          <w:szCs w:val="22"/>
        </w:rPr>
      </w:pPr>
      <w:bookmarkStart w:id="0" w:name="_Hlk44652432"/>
      <w:r w:rsidRPr="004F3F03">
        <w:rPr>
          <w:color w:val="auto"/>
          <w:sz w:val="22"/>
          <w:szCs w:val="22"/>
        </w:rPr>
        <w:t xml:space="preserve">Spolupráce podle této smlouvy zahrnuje </w:t>
      </w:r>
      <w:bookmarkEnd w:id="0"/>
      <w:r w:rsidRPr="004F3F03">
        <w:rPr>
          <w:color w:val="auto"/>
          <w:sz w:val="22"/>
          <w:szCs w:val="22"/>
        </w:rPr>
        <w:t>ze strany ÚKZÚZ</w:t>
      </w:r>
      <w:r w:rsidR="00716C00" w:rsidRPr="00716C00">
        <w:t xml:space="preserve"> </w:t>
      </w:r>
      <w:r w:rsidR="00716C00" w:rsidRPr="00716C00">
        <w:rPr>
          <w:color w:val="auto"/>
          <w:sz w:val="22"/>
          <w:szCs w:val="22"/>
        </w:rPr>
        <w:t>zejména</w:t>
      </w:r>
      <w:r w:rsidRPr="004F3F03">
        <w:rPr>
          <w:color w:val="auto"/>
          <w:sz w:val="22"/>
          <w:szCs w:val="22"/>
        </w:rPr>
        <w:t xml:space="preserve">: </w:t>
      </w:r>
      <w:r w:rsidRPr="004F3F03">
        <w:rPr>
          <w:color w:val="auto"/>
          <w:sz w:val="22"/>
          <w:szCs w:val="22"/>
        </w:rPr>
        <w:tab/>
      </w:r>
    </w:p>
    <w:p w14:paraId="17B7C252" w14:textId="59802FB7" w:rsidR="004A6A15" w:rsidRPr="004F3F03" w:rsidRDefault="004A6A15" w:rsidP="00031933">
      <w:pPr>
        <w:pStyle w:val="Default"/>
        <w:numPr>
          <w:ilvl w:val="0"/>
          <w:numId w:val="2"/>
        </w:numPr>
        <w:ind w:left="1434" w:hanging="357"/>
        <w:jc w:val="both"/>
        <w:rPr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umožnit vymezené využití vzdáleného přístupu oprávněných zaměstnanců vzdělávacího zařízení (dle Př</w:t>
      </w:r>
      <w:r w:rsidR="00031933">
        <w:rPr>
          <w:b/>
          <w:bCs/>
          <w:color w:val="auto"/>
          <w:sz w:val="22"/>
          <w:szCs w:val="22"/>
        </w:rPr>
        <w:t>ílohy</w:t>
      </w:r>
      <w:r w:rsidRPr="004F3F03">
        <w:rPr>
          <w:b/>
          <w:bCs/>
          <w:color w:val="auto"/>
          <w:sz w:val="22"/>
          <w:szCs w:val="22"/>
        </w:rPr>
        <w:t xml:space="preserve"> č. 1) do informačního systému</w:t>
      </w:r>
      <w:r w:rsidR="00651AE2">
        <w:rPr>
          <w:b/>
          <w:bCs/>
          <w:color w:val="auto"/>
          <w:sz w:val="22"/>
          <w:szCs w:val="22"/>
        </w:rPr>
        <w:t xml:space="preserve"> ÚKZÚZ</w:t>
      </w:r>
      <w:r w:rsidRPr="004F3F03">
        <w:rPr>
          <w:b/>
          <w:bCs/>
          <w:color w:val="auto"/>
          <w:sz w:val="22"/>
          <w:szCs w:val="22"/>
        </w:rPr>
        <w:t xml:space="preserve"> </w:t>
      </w:r>
      <w:r w:rsidR="00390E61">
        <w:rPr>
          <w:b/>
          <w:bCs/>
          <w:color w:val="auto"/>
          <w:sz w:val="22"/>
          <w:szCs w:val="22"/>
        </w:rPr>
        <w:t>(dále jen „</w:t>
      </w:r>
      <w:r w:rsidR="00651AE2">
        <w:rPr>
          <w:b/>
          <w:bCs/>
          <w:color w:val="auto"/>
          <w:sz w:val="22"/>
          <w:szCs w:val="22"/>
        </w:rPr>
        <w:t>IS</w:t>
      </w:r>
      <w:r w:rsidR="00390E61">
        <w:rPr>
          <w:b/>
          <w:bCs/>
          <w:color w:val="auto"/>
          <w:sz w:val="22"/>
          <w:szCs w:val="22"/>
        </w:rPr>
        <w:t>“)</w:t>
      </w:r>
      <w:r w:rsidRPr="004F3F03">
        <w:rPr>
          <w:b/>
          <w:bCs/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 xml:space="preserve">pro účely vydávání a evidování osvědčení o OZ I. </w:t>
      </w:r>
      <w:r w:rsidR="002E7452">
        <w:rPr>
          <w:color w:val="auto"/>
          <w:sz w:val="22"/>
          <w:szCs w:val="22"/>
        </w:rPr>
        <w:t xml:space="preserve">a II. </w:t>
      </w:r>
      <w:r w:rsidRPr="004F3F03">
        <w:rPr>
          <w:color w:val="auto"/>
          <w:sz w:val="22"/>
          <w:szCs w:val="22"/>
        </w:rPr>
        <w:t>stupně a dokladů o</w:t>
      </w:r>
      <w:r w:rsidR="00AE5006">
        <w:rPr>
          <w:color w:val="auto"/>
          <w:sz w:val="22"/>
          <w:szCs w:val="22"/>
        </w:rPr>
        <w:t> </w:t>
      </w:r>
      <w:r w:rsidRPr="004F3F03">
        <w:rPr>
          <w:color w:val="auto"/>
          <w:sz w:val="22"/>
          <w:szCs w:val="22"/>
        </w:rPr>
        <w:t>absolvování příslušných kurzů a školení potřebných pro OZ všech tří stupňů,</w:t>
      </w:r>
    </w:p>
    <w:p w14:paraId="7FA67F34" w14:textId="6E761970" w:rsidR="004A6A15" w:rsidRPr="00307829" w:rsidRDefault="004A6A15" w:rsidP="00031933">
      <w:pPr>
        <w:pStyle w:val="Default"/>
        <w:numPr>
          <w:ilvl w:val="0"/>
          <w:numId w:val="2"/>
        </w:numPr>
        <w:ind w:left="1434" w:hanging="357"/>
        <w:jc w:val="both"/>
        <w:rPr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provádění zkoušek OZ podle § 86</w:t>
      </w:r>
      <w:r w:rsidR="00390E61">
        <w:rPr>
          <w:b/>
          <w:bCs/>
          <w:color w:val="auto"/>
          <w:sz w:val="22"/>
          <w:szCs w:val="22"/>
        </w:rPr>
        <w:t xml:space="preserve"> </w:t>
      </w:r>
      <w:r w:rsidRPr="004F3F03">
        <w:rPr>
          <w:b/>
          <w:bCs/>
          <w:color w:val="auto"/>
          <w:sz w:val="22"/>
          <w:szCs w:val="22"/>
        </w:rPr>
        <w:t>zákona pro absolventy příslušných kurzů a</w:t>
      </w:r>
      <w:r w:rsidR="00AE5006">
        <w:rPr>
          <w:b/>
          <w:bCs/>
          <w:color w:val="auto"/>
          <w:sz w:val="22"/>
          <w:szCs w:val="22"/>
        </w:rPr>
        <w:t> </w:t>
      </w:r>
      <w:r w:rsidRPr="004F3F03">
        <w:rPr>
          <w:b/>
          <w:bCs/>
          <w:color w:val="auto"/>
          <w:sz w:val="22"/>
          <w:szCs w:val="22"/>
        </w:rPr>
        <w:t>školení na základě žádosti pověřeného vzdělávacího zařízení</w:t>
      </w:r>
      <w:r w:rsidRPr="00307829">
        <w:rPr>
          <w:color w:val="auto"/>
          <w:sz w:val="22"/>
          <w:szCs w:val="22"/>
        </w:rPr>
        <w:t>,</w:t>
      </w:r>
      <w:r w:rsidRPr="004F3F03">
        <w:rPr>
          <w:b/>
          <w:bCs/>
          <w:color w:val="auto"/>
          <w:sz w:val="22"/>
          <w:szCs w:val="22"/>
        </w:rPr>
        <w:t xml:space="preserve"> </w:t>
      </w:r>
    </w:p>
    <w:p w14:paraId="668EBD73" w14:textId="31440CDC" w:rsidR="009E38D7" w:rsidRPr="004F3F03" w:rsidRDefault="009E38D7" w:rsidP="00031933">
      <w:pPr>
        <w:pStyle w:val="Default"/>
        <w:numPr>
          <w:ilvl w:val="0"/>
          <w:numId w:val="2"/>
        </w:numPr>
        <w:ind w:left="1434" w:hanging="35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poskytnout a průběžně aktualizovat </w:t>
      </w:r>
      <w:bookmarkStart w:id="1" w:name="_Hlk132879988"/>
      <w:r>
        <w:rPr>
          <w:b/>
          <w:bCs/>
          <w:color w:val="auto"/>
          <w:sz w:val="22"/>
          <w:szCs w:val="22"/>
        </w:rPr>
        <w:t>písemné testy pro provádění zkoušek OZ II. stupně, včetně poskytnutí šablon pro vyplňování a následné vyhodnocování zkušebních otázek</w:t>
      </w:r>
      <w:r w:rsidR="00AE152D" w:rsidRPr="00AE152D">
        <w:rPr>
          <w:color w:val="auto"/>
          <w:sz w:val="22"/>
          <w:szCs w:val="22"/>
        </w:rPr>
        <w:t>,</w:t>
      </w:r>
    </w:p>
    <w:bookmarkEnd w:id="1"/>
    <w:p w14:paraId="316AEFAB" w14:textId="013C1D6A" w:rsidR="00717D08" w:rsidRPr="002E7452" w:rsidRDefault="004A6A15" w:rsidP="00031933">
      <w:pPr>
        <w:pStyle w:val="Default"/>
        <w:numPr>
          <w:ilvl w:val="0"/>
          <w:numId w:val="2"/>
        </w:numPr>
        <w:ind w:left="1434" w:hanging="357"/>
        <w:jc w:val="both"/>
        <w:rPr>
          <w:color w:val="auto"/>
          <w:sz w:val="22"/>
          <w:szCs w:val="22"/>
        </w:rPr>
      </w:pPr>
      <w:r w:rsidRPr="00986887">
        <w:rPr>
          <w:b/>
          <w:bCs/>
          <w:color w:val="auto"/>
          <w:sz w:val="22"/>
          <w:szCs w:val="22"/>
        </w:rPr>
        <w:t>zveřejňování nabídky příslušných kur</w:t>
      </w:r>
      <w:r w:rsidR="00D1348C" w:rsidRPr="00986887">
        <w:rPr>
          <w:b/>
          <w:bCs/>
          <w:color w:val="auto"/>
          <w:sz w:val="22"/>
          <w:szCs w:val="22"/>
        </w:rPr>
        <w:t>z</w:t>
      </w:r>
      <w:r w:rsidRPr="00986887">
        <w:rPr>
          <w:b/>
          <w:bCs/>
          <w:color w:val="auto"/>
          <w:sz w:val="22"/>
          <w:szCs w:val="22"/>
        </w:rPr>
        <w:t>ů</w:t>
      </w:r>
      <w:r w:rsidR="00732AE2">
        <w:rPr>
          <w:b/>
          <w:bCs/>
          <w:color w:val="auto"/>
          <w:sz w:val="22"/>
          <w:szCs w:val="22"/>
        </w:rPr>
        <w:t xml:space="preserve">, </w:t>
      </w:r>
      <w:r w:rsidRPr="00986887">
        <w:rPr>
          <w:b/>
          <w:bCs/>
          <w:color w:val="auto"/>
          <w:sz w:val="22"/>
          <w:szCs w:val="22"/>
        </w:rPr>
        <w:t>školení</w:t>
      </w:r>
      <w:r w:rsidR="00732AE2">
        <w:rPr>
          <w:b/>
          <w:bCs/>
          <w:color w:val="auto"/>
          <w:sz w:val="22"/>
          <w:szCs w:val="22"/>
        </w:rPr>
        <w:t xml:space="preserve"> a termínů zkoušek pro II. stupeň OZ</w:t>
      </w:r>
      <w:r w:rsidRPr="004F3F03">
        <w:rPr>
          <w:bCs/>
          <w:color w:val="auto"/>
          <w:sz w:val="22"/>
          <w:szCs w:val="22"/>
        </w:rPr>
        <w:t xml:space="preserve"> pořádaných vzdělávacím </w:t>
      </w:r>
      <w:r w:rsidRPr="00230029">
        <w:rPr>
          <w:bCs/>
          <w:color w:val="auto"/>
          <w:sz w:val="22"/>
          <w:szCs w:val="22"/>
        </w:rPr>
        <w:t>zařízením na webu ÚKZÚZ</w:t>
      </w:r>
      <w:r w:rsidR="00AE152D">
        <w:rPr>
          <w:bCs/>
          <w:color w:val="auto"/>
          <w:sz w:val="22"/>
          <w:szCs w:val="22"/>
        </w:rPr>
        <w:t>.</w:t>
      </w:r>
    </w:p>
    <w:p w14:paraId="3C3FE56C" w14:textId="77777777" w:rsidR="004A199A" w:rsidRPr="006F2B8B" w:rsidRDefault="004A199A" w:rsidP="004A199A">
      <w:pPr>
        <w:pStyle w:val="Default"/>
        <w:rPr>
          <w:bCs/>
          <w:color w:val="auto"/>
          <w:sz w:val="22"/>
          <w:szCs w:val="22"/>
        </w:rPr>
      </w:pPr>
      <w:r w:rsidRPr="006F2B8B">
        <w:rPr>
          <w:bCs/>
          <w:color w:val="auto"/>
          <w:sz w:val="22"/>
          <w:szCs w:val="22"/>
        </w:rPr>
        <w:tab/>
      </w:r>
    </w:p>
    <w:p w14:paraId="7A513679" w14:textId="13336EE0" w:rsidR="004A6A15" w:rsidRPr="006F2B8B" w:rsidRDefault="00FC6B0C" w:rsidP="00FC6B0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F2B8B">
        <w:rPr>
          <w:bCs/>
          <w:color w:val="auto"/>
          <w:sz w:val="22"/>
          <w:szCs w:val="22"/>
        </w:rPr>
        <w:t xml:space="preserve">Spolupráce podle této smlouvy zahrnuje </w:t>
      </w:r>
      <w:r w:rsidR="004A199A" w:rsidRPr="006F2B8B">
        <w:rPr>
          <w:bCs/>
          <w:color w:val="auto"/>
          <w:sz w:val="22"/>
          <w:szCs w:val="22"/>
        </w:rPr>
        <w:t>z</w:t>
      </w:r>
      <w:r w:rsidR="004A6A15" w:rsidRPr="006F2B8B">
        <w:rPr>
          <w:bCs/>
          <w:color w:val="auto"/>
          <w:sz w:val="22"/>
          <w:szCs w:val="22"/>
        </w:rPr>
        <w:t>e strany vzdělávacího zařízení</w:t>
      </w:r>
      <w:r w:rsidR="00716C00" w:rsidRPr="006F2B8B">
        <w:rPr>
          <w:bCs/>
          <w:color w:val="auto"/>
          <w:sz w:val="22"/>
          <w:szCs w:val="22"/>
        </w:rPr>
        <w:t xml:space="preserve"> zejména</w:t>
      </w:r>
      <w:r w:rsidR="004A6A15" w:rsidRPr="006F2B8B">
        <w:rPr>
          <w:bCs/>
          <w:color w:val="auto"/>
          <w:sz w:val="22"/>
          <w:szCs w:val="22"/>
        </w:rPr>
        <w:t>:</w:t>
      </w:r>
    </w:p>
    <w:p w14:paraId="18A3C2C9" w14:textId="721BCE5E" w:rsidR="004A6A15" w:rsidRPr="006F2B8B" w:rsidRDefault="004A6A15" w:rsidP="002A4DAB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6F2B8B">
        <w:rPr>
          <w:b/>
          <w:bCs/>
          <w:color w:val="auto"/>
          <w:sz w:val="22"/>
          <w:szCs w:val="22"/>
        </w:rPr>
        <w:t>žádat ÚKZÚZ o provádění zkoušek OZ pro absolventy příslušných kurzů a</w:t>
      </w:r>
      <w:r w:rsidR="00AE5006">
        <w:rPr>
          <w:b/>
          <w:bCs/>
          <w:color w:val="auto"/>
          <w:sz w:val="22"/>
          <w:szCs w:val="22"/>
        </w:rPr>
        <w:t> </w:t>
      </w:r>
      <w:r w:rsidRPr="006F2B8B">
        <w:rPr>
          <w:b/>
          <w:bCs/>
          <w:color w:val="auto"/>
          <w:sz w:val="22"/>
          <w:szCs w:val="22"/>
        </w:rPr>
        <w:t>školení</w:t>
      </w:r>
      <w:r w:rsidR="00D6312B" w:rsidRPr="006F2B8B">
        <w:rPr>
          <w:b/>
          <w:bCs/>
          <w:color w:val="auto"/>
          <w:sz w:val="22"/>
          <w:szCs w:val="22"/>
        </w:rPr>
        <w:t xml:space="preserve"> pro vydání osvědčení III. stupně</w:t>
      </w:r>
      <w:r w:rsidR="004101CA" w:rsidRPr="00307829">
        <w:rPr>
          <w:color w:val="auto"/>
          <w:sz w:val="22"/>
          <w:szCs w:val="22"/>
        </w:rPr>
        <w:t>,</w:t>
      </w:r>
    </w:p>
    <w:p w14:paraId="5D745230" w14:textId="11A2D755" w:rsidR="004A6A15" w:rsidRPr="009E38D7" w:rsidRDefault="004A199A" w:rsidP="00D5343B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6F2B8B">
        <w:rPr>
          <w:b/>
          <w:bCs/>
          <w:color w:val="auto"/>
          <w:sz w:val="22"/>
          <w:szCs w:val="22"/>
        </w:rPr>
        <w:t>oznámit ÚKZÚZ datum a místo konání</w:t>
      </w:r>
      <w:r w:rsidR="009E38D7">
        <w:rPr>
          <w:b/>
          <w:bCs/>
          <w:color w:val="auto"/>
          <w:sz w:val="22"/>
          <w:szCs w:val="22"/>
        </w:rPr>
        <w:t xml:space="preserve"> </w:t>
      </w:r>
      <w:r w:rsidR="009E38D7" w:rsidRPr="00307829">
        <w:rPr>
          <w:b/>
          <w:bCs/>
          <w:color w:val="auto"/>
          <w:sz w:val="22"/>
          <w:szCs w:val="22"/>
        </w:rPr>
        <w:t>příslušných kurzů a školení potřebných pro OZ všech tří stupňů</w:t>
      </w:r>
      <w:r w:rsidR="00A7401C" w:rsidRPr="00307829">
        <w:rPr>
          <w:color w:val="auto"/>
          <w:sz w:val="22"/>
          <w:szCs w:val="22"/>
        </w:rPr>
        <w:t>,</w:t>
      </w:r>
      <w:r w:rsidR="00A7401C" w:rsidRPr="009E38D7">
        <w:rPr>
          <w:b/>
          <w:bCs/>
          <w:color w:val="auto"/>
          <w:sz w:val="22"/>
          <w:szCs w:val="22"/>
        </w:rPr>
        <w:t xml:space="preserve"> </w:t>
      </w:r>
    </w:p>
    <w:p w14:paraId="5281EBFB" w14:textId="5CB32542" w:rsidR="00230029" w:rsidRDefault="00230029" w:rsidP="00D5343B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6F2B8B">
        <w:rPr>
          <w:b/>
          <w:bCs/>
          <w:color w:val="auto"/>
          <w:sz w:val="22"/>
          <w:szCs w:val="22"/>
        </w:rPr>
        <w:t xml:space="preserve">zajistit u zkoušky </w:t>
      </w:r>
      <w:r w:rsidR="00AE152D">
        <w:rPr>
          <w:b/>
          <w:bCs/>
          <w:color w:val="auto"/>
          <w:sz w:val="22"/>
          <w:szCs w:val="22"/>
        </w:rPr>
        <w:t xml:space="preserve">OZ </w:t>
      </w:r>
      <w:r w:rsidRPr="006F2B8B">
        <w:rPr>
          <w:b/>
          <w:bCs/>
          <w:color w:val="auto"/>
          <w:sz w:val="22"/>
          <w:szCs w:val="22"/>
        </w:rPr>
        <w:t>III. stupně účast pověřené úřední osoby příslušného orgánu ochrany veřejného zdraví</w:t>
      </w:r>
      <w:r w:rsidR="00AE152D" w:rsidRPr="00307829">
        <w:rPr>
          <w:color w:val="auto"/>
          <w:sz w:val="22"/>
          <w:szCs w:val="22"/>
        </w:rPr>
        <w:t>,</w:t>
      </w:r>
    </w:p>
    <w:p w14:paraId="008AC17F" w14:textId="2F2B809B" w:rsidR="004101CA" w:rsidRPr="00F3076B" w:rsidRDefault="00732AE2" w:rsidP="00AE152D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F3076B">
        <w:rPr>
          <w:b/>
          <w:bCs/>
          <w:sz w:val="22"/>
          <w:szCs w:val="22"/>
        </w:rPr>
        <w:t xml:space="preserve">zajistit po dohodě s ÚKZÚZ a místně příslušnými orgány ochrany veřejného zdraví konání zkoušek stanovených pro získání osvědčení II. stupně a vyhlásit termíny pro jejich konání, a to nejméně 6 měsíců přede dnem jejich konání prostřednictvím IS </w:t>
      </w:r>
      <w:r w:rsidR="009E38D7" w:rsidRPr="00F3076B">
        <w:rPr>
          <w:b/>
          <w:bCs/>
          <w:color w:val="auto"/>
          <w:sz w:val="22"/>
          <w:szCs w:val="22"/>
        </w:rPr>
        <w:t>ÚKZÚZ</w:t>
      </w:r>
      <w:r w:rsidR="00AE152D" w:rsidRPr="00F3076B">
        <w:rPr>
          <w:color w:val="auto"/>
          <w:sz w:val="22"/>
          <w:szCs w:val="22"/>
        </w:rPr>
        <w:t>.</w:t>
      </w:r>
    </w:p>
    <w:p w14:paraId="662DCB6C" w14:textId="28A66E5E" w:rsidR="00397689" w:rsidRDefault="00397689" w:rsidP="004A6A15">
      <w:pPr>
        <w:pStyle w:val="Default"/>
        <w:ind w:left="1440"/>
        <w:rPr>
          <w:b/>
          <w:bCs/>
          <w:color w:val="auto"/>
          <w:sz w:val="22"/>
          <w:szCs w:val="22"/>
        </w:rPr>
      </w:pPr>
    </w:p>
    <w:p w14:paraId="13E4CF10" w14:textId="77777777" w:rsidR="00AE152D" w:rsidRPr="009E7833" w:rsidRDefault="00AE152D" w:rsidP="004A6A15">
      <w:pPr>
        <w:pStyle w:val="Default"/>
        <w:ind w:left="1440"/>
        <w:rPr>
          <w:b/>
          <w:bCs/>
          <w:color w:val="auto"/>
          <w:sz w:val="22"/>
          <w:szCs w:val="22"/>
        </w:rPr>
      </w:pPr>
    </w:p>
    <w:p w14:paraId="05E1E779" w14:textId="77777777" w:rsidR="004A6A15" w:rsidRPr="009E7833" w:rsidRDefault="004A6A15" w:rsidP="00D357BF">
      <w:pPr>
        <w:pStyle w:val="Default"/>
        <w:ind w:left="1080"/>
        <w:jc w:val="center"/>
        <w:rPr>
          <w:color w:val="auto"/>
          <w:sz w:val="22"/>
          <w:szCs w:val="22"/>
        </w:rPr>
      </w:pPr>
      <w:r w:rsidRPr="009E7833">
        <w:rPr>
          <w:b/>
          <w:bCs/>
          <w:color w:val="auto"/>
          <w:sz w:val="22"/>
          <w:szCs w:val="22"/>
        </w:rPr>
        <w:t>Článek I</w:t>
      </w:r>
      <w:r w:rsidR="008F518B">
        <w:rPr>
          <w:b/>
          <w:bCs/>
          <w:color w:val="auto"/>
          <w:sz w:val="22"/>
          <w:szCs w:val="22"/>
        </w:rPr>
        <w:t>I</w:t>
      </w:r>
      <w:r w:rsidRPr="009E7833">
        <w:rPr>
          <w:b/>
          <w:bCs/>
          <w:color w:val="auto"/>
          <w:sz w:val="22"/>
          <w:szCs w:val="22"/>
        </w:rPr>
        <w:t>I.</w:t>
      </w:r>
    </w:p>
    <w:p w14:paraId="4679C7DA" w14:textId="77777777" w:rsidR="004A6A15" w:rsidRPr="009E783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F518B">
        <w:rPr>
          <w:b/>
          <w:bCs/>
          <w:color w:val="auto"/>
          <w:sz w:val="22"/>
          <w:szCs w:val="22"/>
        </w:rPr>
        <w:t xml:space="preserve">Povinnosti smluvních stran v rámci informačního systému </w:t>
      </w:r>
      <w:r w:rsidR="00A7401C" w:rsidRPr="009E7833">
        <w:rPr>
          <w:b/>
          <w:bCs/>
          <w:color w:val="auto"/>
          <w:sz w:val="22"/>
          <w:szCs w:val="22"/>
        </w:rPr>
        <w:t>ÚKZÚZ</w:t>
      </w:r>
    </w:p>
    <w:p w14:paraId="718A8A33" w14:textId="77777777" w:rsidR="004A6A15" w:rsidRPr="004F3F03" w:rsidRDefault="004A6A15" w:rsidP="004A6A15">
      <w:pPr>
        <w:pStyle w:val="Default"/>
        <w:spacing w:after="27"/>
        <w:ind w:left="1440"/>
        <w:rPr>
          <w:color w:val="auto"/>
          <w:sz w:val="22"/>
          <w:szCs w:val="22"/>
        </w:rPr>
      </w:pPr>
    </w:p>
    <w:p w14:paraId="6AE4B9D7" w14:textId="77777777" w:rsidR="004A6A15" w:rsidRPr="004F3F03" w:rsidRDefault="004A6A15" w:rsidP="004A6A15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ÚKZÚZ</w:t>
      </w:r>
      <w:r w:rsidR="00031933">
        <w:rPr>
          <w:color w:val="auto"/>
          <w:sz w:val="22"/>
          <w:szCs w:val="22"/>
        </w:rPr>
        <w:t>,</w:t>
      </w:r>
      <w:r w:rsidRPr="004F3F03">
        <w:rPr>
          <w:color w:val="auto"/>
          <w:sz w:val="22"/>
          <w:szCs w:val="22"/>
        </w:rPr>
        <w:t xml:space="preserve"> jako výhradní držitel veškerých práv </w:t>
      </w:r>
      <w:r w:rsidR="00722319">
        <w:rPr>
          <w:color w:val="auto"/>
          <w:sz w:val="22"/>
          <w:szCs w:val="22"/>
        </w:rPr>
        <w:t>IS</w:t>
      </w:r>
      <w:r w:rsidR="00031933">
        <w:rPr>
          <w:color w:val="auto"/>
          <w:sz w:val="22"/>
          <w:szCs w:val="22"/>
        </w:rPr>
        <w:t>,</w:t>
      </w:r>
      <w:r w:rsidR="00534322">
        <w:rPr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>umožní oprávněným osobám pověřený</w:t>
      </w:r>
      <w:r w:rsidR="006A7EC2">
        <w:rPr>
          <w:color w:val="auto"/>
          <w:sz w:val="22"/>
          <w:szCs w:val="22"/>
        </w:rPr>
        <w:t>m</w:t>
      </w:r>
      <w:r w:rsidRPr="004F3F03">
        <w:rPr>
          <w:color w:val="auto"/>
          <w:sz w:val="22"/>
          <w:szCs w:val="22"/>
        </w:rPr>
        <w:t xml:space="preserve"> vzdělávací</w:t>
      </w:r>
      <w:r w:rsidR="006A7EC2">
        <w:rPr>
          <w:color w:val="auto"/>
          <w:sz w:val="22"/>
          <w:szCs w:val="22"/>
        </w:rPr>
        <w:t>m</w:t>
      </w:r>
      <w:r w:rsidRPr="004F3F03">
        <w:rPr>
          <w:color w:val="auto"/>
          <w:sz w:val="22"/>
          <w:szCs w:val="22"/>
        </w:rPr>
        <w:t xml:space="preserve"> zařízení</w:t>
      </w:r>
      <w:r w:rsidR="006A7EC2">
        <w:rPr>
          <w:color w:val="auto"/>
          <w:sz w:val="22"/>
          <w:szCs w:val="22"/>
        </w:rPr>
        <w:t>m</w:t>
      </w:r>
      <w:r w:rsidRPr="004F3F03">
        <w:rPr>
          <w:color w:val="auto"/>
          <w:sz w:val="22"/>
          <w:szCs w:val="22"/>
        </w:rPr>
        <w:t xml:space="preserve"> vstup do tohoto informačního systému tak, aby oprávněné osoby vzdělávacího zařízení mohly v informačním systému: </w:t>
      </w:r>
    </w:p>
    <w:p w14:paraId="63BA5BEC" w14:textId="77777777" w:rsidR="004A6A15" w:rsidRPr="004F3F03" w:rsidRDefault="004A6A15" w:rsidP="004A6A15">
      <w:pPr>
        <w:pStyle w:val="Default"/>
        <w:spacing w:after="27"/>
        <w:ind w:left="1080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a)</w:t>
      </w:r>
      <w:r w:rsidRPr="004F3F03">
        <w:rPr>
          <w:color w:val="auto"/>
          <w:sz w:val="22"/>
          <w:szCs w:val="22"/>
        </w:rPr>
        <w:tab/>
        <w:t xml:space="preserve">vytvářet a vkládat evidenci absolventů příslušných </w:t>
      </w:r>
      <w:r w:rsidR="00534322">
        <w:rPr>
          <w:color w:val="auto"/>
          <w:sz w:val="22"/>
          <w:szCs w:val="22"/>
        </w:rPr>
        <w:t>kurzů</w:t>
      </w:r>
      <w:r w:rsidRPr="004F3F03">
        <w:rPr>
          <w:color w:val="auto"/>
          <w:sz w:val="22"/>
          <w:szCs w:val="22"/>
        </w:rPr>
        <w:t xml:space="preserve"> a školení;</w:t>
      </w:r>
    </w:p>
    <w:p w14:paraId="7F655F72" w14:textId="6A9E42FE" w:rsidR="004A6A15" w:rsidRPr="004F3F03" w:rsidRDefault="004A6A15" w:rsidP="00307829">
      <w:pPr>
        <w:pStyle w:val="Default"/>
        <w:spacing w:after="240"/>
        <w:ind w:left="1077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b)</w:t>
      </w:r>
      <w:r w:rsidRPr="004F3F03">
        <w:rPr>
          <w:color w:val="auto"/>
          <w:sz w:val="22"/>
          <w:szCs w:val="22"/>
        </w:rPr>
        <w:tab/>
        <w:t xml:space="preserve">tisknout osvědčení I. </w:t>
      </w:r>
      <w:r w:rsidR="00732AE2">
        <w:rPr>
          <w:color w:val="auto"/>
          <w:sz w:val="22"/>
          <w:szCs w:val="22"/>
        </w:rPr>
        <w:t xml:space="preserve">a II. </w:t>
      </w:r>
      <w:r w:rsidRPr="004F3F03">
        <w:rPr>
          <w:color w:val="auto"/>
          <w:sz w:val="22"/>
          <w:szCs w:val="22"/>
        </w:rPr>
        <w:t>stupně.</w:t>
      </w:r>
    </w:p>
    <w:p w14:paraId="6F0B9C23" w14:textId="77777777" w:rsidR="004A6A15" w:rsidRPr="004141F3" w:rsidRDefault="004A6A15" w:rsidP="004141F3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Seznam oprávněných osob za vzdělávací zařízení s přístupem do </w:t>
      </w:r>
      <w:r w:rsidR="00722319">
        <w:rPr>
          <w:color w:val="auto"/>
          <w:sz w:val="22"/>
          <w:szCs w:val="22"/>
        </w:rPr>
        <w:t>IS</w:t>
      </w:r>
      <w:r w:rsidR="00534322">
        <w:rPr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 xml:space="preserve">je uveden v tabulce vedené a aktualizované vzdělávacím zařízením podle odst. </w:t>
      </w:r>
      <w:r w:rsidR="004141F3">
        <w:rPr>
          <w:color w:val="auto"/>
          <w:sz w:val="22"/>
          <w:szCs w:val="22"/>
        </w:rPr>
        <w:t>3</w:t>
      </w:r>
      <w:r w:rsidRPr="004F3F03">
        <w:rPr>
          <w:color w:val="auto"/>
          <w:sz w:val="22"/>
          <w:szCs w:val="22"/>
        </w:rPr>
        <w:t xml:space="preserve">, písm. b) tohoto Článku označené </w:t>
      </w:r>
      <w:r w:rsidRPr="004141F3">
        <w:rPr>
          <w:color w:val="auto"/>
          <w:sz w:val="22"/>
          <w:szCs w:val="22"/>
        </w:rPr>
        <w:t>Seznam oprávněných osob za vzdělávací zařízení podle Smlouvy o spolupráci</w:t>
      </w:r>
      <w:r w:rsidRPr="004F3F03">
        <w:rPr>
          <w:color w:val="auto"/>
          <w:sz w:val="22"/>
          <w:szCs w:val="22"/>
        </w:rPr>
        <w:t xml:space="preserve"> (dále jen </w:t>
      </w:r>
      <w:r w:rsidR="005C4CCA">
        <w:rPr>
          <w:color w:val="auto"/>
          <w:sz w:val="22"/>
          <w:szCs w:val="22"/>
        </w:rPr>
        <w:t>„</w:t>
      </w:r>
      <w:r w:rsidRPr="004F3F03">
        <w:rPr>
          <w:color w:val="auto"/>
          <w:sz w:val="22"/>
          <w:szCs w:val="22"/>
        </w:rPr>
        <w:t>Seznam</w:t>
      </w:r>
      <w:r w:rsidR="005C4CCA">
        <w:rPr>
          <w:color w:val="auto"/>
          <w:sz w:val="22"/>
          <w:szCs w:val="22"/>
        </w:rPr>
        <w:t>“</w:t>
      </w:r>
      <w:r w:rsidRPr="004F3F03">
        <w:rPr>
          <w:color w:val="auto"/>
          <w:sz w:val="22"/>
          <w:szCs w:val="22"/>
        </w:rPr>
        <w:t>). ÚKZÚZ zřídí oprávněným osobám přístup do</w:t>
      </w:r>
      <w:r w:rsidR="00534322">
        <w:rPr>
          <w:color w:val="auto"/>
          <w:sz w:val="22"/>
          <w:szCs w:val="22"/>
        </w:rPr>
        <w:t xml:space="preserve"> </w:t>
      </w:r>
      <w:r w:rsidR="00722319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 xml:space="preserve"> nejpozději do 3 pracovních dnů od doručení seznamu.</w:t>
      </w:r>
    </w:p>
    <w:p w14:paraId="2B71D125" w14:textId="5C704EC9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4871379B" w14:textId="77777777" w:rsidR="004A6A15" w:rsidRPr="004F3F03" w:rsidRDefault="004A6A15" w:rsidP="004141F3">
      <w:pPr>
        <w:pStyle w:val="Default"/>
        <w:numPr>
          <w:ilvl w:val="0"/>
          <w:numId w:val="7"/>
        </w:numPr>
        <w:spacing w:after="27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Vzdělávací zařízení zajistí, že</w:t>
      </w:r>
      <w:r w:rsidRPr="004F3F03">
        <w:rPr>
          <w:color w:val="00B050"/>
          <w:sz w:val="22"/>
          <w:szCs w:val="22"/>
        </w:rPr>
        <w:t>:</w:t>
      </w:r>
      <w:r w:rsidRPr="004F3F03">
        <w:rPr>
          <w:color w:val="auto"/>
          <w:sz w:val="22"/>
          <w:szCs w:val="22"/>
        </w:rPr>
        <w:t xml:space="preserve"> </w:t>
      </w:r>
    </w:p>
    <w:p w14:paraId="3A6F13DE" w14:textId="77777777" w:rsidR="004A6A15" w:rsidRPr="004F3F03" w:rsidRDefault="004A6A15" w:rsidP="004A6A15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oprávněné osoby zajišťující proces evidování absolventů příslušných </w:t>
      </w:r>
      <w:r w:rsidR="00534322">
        <w:rPr>
          <w:color w:val="auto"/>
          <w:sz w:val="22"/>
          <w:szCs w:val="22"/>
        </w:rPr>
        <w:t>kurzů</w:t>
      </w:r>
      <w:r w:rsidRPr="004F3F03">
        <w:rPr>
          <w:color w:val="auto"/>
          <w:sz w:val="22"/>
          <w:szCs w:val="22"/>
        </w:rPr>
        <w:t xml:space="preserve"> a školení budou v plném rozsahu využívat vytvořený vzdálený přístup do </w:t>
      </w:r>
      <w:r w:rsidR="00FC3ECE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>. Vzdělávací zařízení je povinno bez zbytečného odkladu předávat seznam oprávněných osob</w:t>
      </w:r>
      <w:r w:rsidRPr="004F3F03">
        <w:rPr>
          <w:b/>
          <w:i/>
          <w:color w:val="0070C0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>za účelem zřízení přístupu do</w:t>
      </w:r>
      <w:r w:rsidR="00534322">
        <w:rPr>
          <w:color w:val="auto"/>
          <w:sz w:val="22"/>
          <w:szCs w:val="22"/>
        </w:rPr>
        <w:t xml:space="preserve"> </w:t>
      </w:r>
      <w:r w:rsidR="00722319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 xml:space="preserve">, </w:t>
      </w:r>
    </w:p>
    <w:p w14:paraId="525A0E54" w14:textId="77777777" w:rsidR="004A6A15" w:rsidRPr="004F3F03" w:rsidRDefault="004A6A15" w:rsidP="004A6A15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neprodleně oznámí ÚKZÚZ (na oz@ukzuz.cz) ukončení nebo navázání pracovního poměru zaměstnance s oprávněním přístupu do</w:t>
      </w:r>
      <w:r w:rsidR="00534322">
        <w:rPr>
          <w:color w:val="auto"/>
          <w:sz w:val="22"/>
          <w:szCs w:val="22"/>
        </w:rPr>
        <w:t xml:space="preserve"> </w:t>
      </w:r>
      <w:r w:rsidR="00722319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>, nebo přechod takového zaměstnance na jinou pracovní pozici, jejíž náplní nebude evidence školených osob na OZ, a umožní tím ÚKZÚZ včasné zrušení nebo založení jeho práv v</w:t>
      </w:r>
      <w:r w:rsidR="00EE3F18">
        <w:rPr>
          <w:color w:val="auto"/>
          <w:sz w:val="22"/>
          <w:szCs w:val="22"/>
        </w:rPr>
        <w:t> </w:t>
      </w:r>
      <w:r w:rsidR="00722319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 xml:space="preserve">, </w:t>
      </w:r>
    </w:p>
    <w:p w14:paraId="63E48ED2" w14:textId="09A81622" w:rsidR="004A6A15" w:rsidRPr="004F3F03" w:rsidRDefault="004A6A15" w:rsidP="004A6A15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evidence proškolených osob bude průběžně vkládána do</w:t>
      </w:r>
      <w:r w:rsidR="00534322">
        <w:rPr>
          <w:color w:val="auto"/>
          <w:sz w:val="22"/>
          <w:szCs w:val="22"/>
        </w:rPr>
        <w:t xml:space="preserve"> </w:t>
      </w:r>
      <w:r w:rsidR="00C26933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 xml:space="preserve"> a ukončena nejpozději 2</w:t>
      </w:r>
      <w:r w:rsidR="00AE5006">
        <w:rPr>
          <w:color w:val="auto"/>
          <w:sz w:val="22"/>
          <w:szCs w:val="22"/>
        </w:rPr>
        <w:t> </w:t>
      </w:r>
      <w:r w:rsidRPr="004F3F03">
        <w:rPr>
          <w:color w:val="auto"/>
          <w:sz w:val="22"/>
          <w:szCs w:val="22"/>
        </w:rPr>
        <w:t>pracovní dny</w:t>
      </w:r>
      <w:r w:rsidRPr="004F3F03">
        <w:rPr>
          <w:b/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 xml:space="preserve">po posledním dni konání příslušného </w:t>
      </w:r>
      <w:r w:rsidR="00534322">
        <w:rPr>
          <w:color w:val="auto"/>
          <w:sz w:val="22"/>
          <w:szCs w:val="22"/>
        </w:rPr>
        <w:t xml:space="preserve">kurzu </w:t>
      </w:r>
      <w:r w:rsidRPr="004F3F03">
        <w:rPr>
          <w:color w:val="auto"/>
          <w:sz w:val="22"/>
          <w:szCs w:val="22"/>
        </w:rPr>
        <w:t xml:space="preserve">nebo školení, </w:t>
      </w:r>
    </w:p>
    <w:p w14:paraId="5247F41E" w14:textId="69A487F2" w:rsidR="004A6A15" w:rsidRPr="004F3F03" w:rsidRDefault="004A6A15" w:rsidP="004A6A15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budou trvale udržovat aktuální databáze</w:t>
      </w:r>
      <w:r w:rsidR="00534322">
        <w:rPr>
          <w:color w:val="auto"/>
          <w:sz w:val="22"/>
          <w:szCs w:val="22"/>
        </w:rPr>
        <w:t xml:space="preserve"> </w:t>
      </w:r>
      <w:r w:rsidR="00C26933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 xml:space="preserve"> o všech absolventech příslušných </w:t>
      </w:r>
      <w:r w:rsidR="00534322">
        <w:rPr>
          <w:color w:val="auto"/>
          <w:sz w:val="22"/>
          <w:szCs w:val="22"/>
        </w:rPr>
        <w:t xml:space="preserve">kurzů </w:t>
      </w:r>
      <w:r w:rsidRPr="004F3F03">
        <w:rPr>
          <w:color w:val="auto"/>
          <w:sz w:val="22"/>
          <w:szCs w:val="22"/>
        </w:rPr>
        <w:t>a školení a o všech vydaných osvědčeních I.</w:t>
      </w:r>
      <w:r w:rsidR="00B06E69">
        <w:rPr>
          <w:color w:val="auto"/>
          <w:sz w:val="22"/>
          <w:szCs w:val="22"/>
        </w:rPr>
        <w:t xml:space="preserve"> a II. stupně</w:t>
      </w:r>
      <w:r w:rsidRPr="004F3F03">
        <w:rPr>
          <w:color w:val="auto"/>
          <w:sz w:val="22"/>
          <w:szCs w:val="22"/>
        </w:rPr>
        <w:t xml:space="preserve"> od data získání pověření k provádění kurzů a školení OZ,</w:t>
      </w:r>
    </w:p>
    <w:p w14:paraId="2D6CF6F8" w14:textId="77777777" w:rsidR="004A6A15" w:rsidRPr="004F3F03" w:rsidRDefault="004A6A15" w:rsidP="004A6A15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vložením údajů do</w:t>
      </w:r>
      <w:r w:rsidR="00534322">
        <w:rPr>
          <w:color w:val="auto"/>
          <w:sz w:val="22"/>
          <w:szCs w:val="22"/>
        </w:rPr>
        <w:t xml:space="preserve"> </w:t>
      </w:r>
      <w:r w:rsidR="00C26933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 xml:space="preserve"> je splněna zákonná povinnost vzdělávacího zařízení poskytovat informace ÚKZÚZ o absolventech příslušných školení a </w:t>
      </w:r>
      <w:r w:rsidR="00534322" w:rsidRPr="00031933">
        <w:rPr>
          <w:color w:val="auto"/>
          <w:sz w:val="22"/>
          <w:szCs w:val="22"/>
        </w:rPr>
        <w:t>kurzů</w:t>
      </w:r>
      <w:r w:rsidRPr="004F3F03">
        <w:rPr>
          <w:color w:val="auto"/>
          <w:sz w:val="22"/>
          <w:szCs w:val="22"/>
        </w:rPr>
        <w:t>.</w:t>
      </w:r>
    </w:p>
    <w:p w14:paraId="484B5A4A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0DD3ACB1" w14:textId="6477D599" w:rsidR="004A6A15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44A31DC" w14:textId="6A35EE93" w:rsidR="00E46E90" w:rsidRDefault="00E46E90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20E6AE0" w14:textId="77777777" w:rsidR="00E46E90" w:rsidRDefault="00E46E90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C94B3AF" w14:textId="77777777" w:rsidR="004A6A15" w:rsidRPr="004F3F03" w:rsidRDefault="00D14938" w:rsidP="004A6A1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Článek IV.</w:t>
      </w:r>
    </w:p>
    <w:p w14:paraId="3FBDE896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Povinnosti smluvních stran v rámci provádění zkoušek</w:t>
      </w:r>
    </w:p>
    <w:p w14:paraId="73909C2E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0DC47AD0" w14:textId="29DD5422" w:rsidR="004A6A15" w:rsidRPr="004F3F03" w:rsidRDefault="004A6A15" w:rsidP="004C1878">
      <w:pPr>
        <w:pStyle w:val="Default"/>
        <w:numPr>
          <w:ilvl w:val="0"/>
          <w:numId w:val="6"/>
        </w:numPr>
        <w:spacing w:after="120"/>
        <w:ind w:left="714" w:hanging="357"/>
        <w:jc w:val="both"/>
        <w:rPr>
          <w:bCs/>
          <w:color w:val="auto"/>
          <w:sz w:val="22"/>
          <w:szCs w:val="22"/>
        </w:rPr>
      </w:pPr>
      <w:r w:rsidRPr="004F3F03">
        <w:rPr>
          <w:bCs/>
          <w:color w:val="auto"/>
          <w:sz w:val="22"/>
          <w:szCs w:val="22"/>
        </w:rPr>
        <w:t xml:space="preserve">Pokud bude vzdělávacím zařízením požadováno od </w:t>
      </w:r>
      <w:r w:rsidRPr="00BC17D6">
        <w:rPr>
          <w:bCs/>
          <w:color w:val="auto"/>
          <w:sz w:val="22"/>
          <w:szCs w:val="22"/>
        </w:rPr>
        <w:t xml:space="preserve">ÚKZÚZ </w:t>
      </w:r>
      <w:r w:rsidRPr="00307829">
        <w:rPr>
          <w:bCs/>
          <w:color w:val="auto"/>
          <w:sz w:val="22"/>
          <w:szCs w:val="22"/>
        </w:rPr>
        <w:t>konání zkoušky bezprostředně po</w:t>
      </w:r>
      <w:r w:rsidR="00AE5006">
        <w:rPr>
          <w:bCs/>
          <w:color w:val="auto"/>
          <w:sz w:val="22"/>
          <w:szCs w:val="22"/>
        </w:rPr>
        <w:t> </w:t>
      </w:r>
      <w:r w:rsidRPr="00307829">
        <w:rPr>
          <w:bCs/>
          <w:color w:val="auto"/>
          <w:sz w:val="22"/>
          <w:szCs w:val="22"/>
        </w:rPr>
        <w:t xml:space="preserve">ukončení </w:t>
      </w:r>
      <w:r w:rsidR="00534322" w:rsidRPr="00307829">
        <w:rPr>
          <w:bCs/>
          <w:color w:val="auto"/>
          <w:sz w:val="22"/>
          <w:szCs w:val="22"/>
        </w:rPr>
        <w:t xml:space="preserve">kurzu či </w:t>
      </w:r>
      <w:r w:rsidRPr="00307829">
        <w:rPr>
          <w:bCs/>
          <w:color w:val="auto"/>
          <w:sz w:val="22"/>
          <w:szCs w:val="22"/>
        </w:rPr>
        <w:t>školení,</w:t>
      </w:r>
      <w:r w:rsidRPr="004F3F03">
        <w:rPr>
          <w:bCs/>
          <w:color w:val="auto"/>
          <w:sz w:val="22"/>
          <w:szCs w:val="22"/>
        </w:rPr>
        <w:t xml:space="preserve"> a to výlučně v pracovních dnech, je vzdělávací zařízení povinno požádat o zkoušku nejpozději 14 dní před jejím konáním buď písemně (např.: e-mailem</w:t>
      </w:r>
      <w:r w:rsidRPr="004F3F03">
        <w:rPr>
          <w:b/>
          <w:bCs/>
          <w:i/>
          <w:color w:val="auto"/>
          <w:sz w:val="22"/>
          <w:szCs w:val="22"/>
        </w:rPr>
        <w:t>)</w:t>
      </w:r>
      <w:r w:rsidRPr="004F3F03">
        <w:rPr>
          <w:bCs/>
          <w:color w:val="auto"/>
          <w:sz w:val="22"/>
          <w:szCs w:val="22"/>
        </w:rPr>
        <w:t xml:space="preserve">, telefonicky, nebo kontaktováním pověřené osoby na regionálním Oddělení </w:t>
      </w:r>
      <w:r w:rsidR="00874A63">
        <w:rPr>
          <w:bCs/>
          <w:color w:val="auto"/>
          <w:sz w:val="22"/>
          <w:szCs w:val="22"/>
        </w:rPr>
        <w:t>kontroly zemědělských vstupů</w:t>
      </w:r>
      <w:r w:rsidRPr="004F3F03">
        <w:rPr>
          <w:bCs/>
          <w:color w:val="auto"/>
          <w:sz w:val="22"/>
          <w:szCs w:val="22"/>
        </w:rPr>
        <w:t xml:space="preserve"> ÚKZÚZ</w:t>
      </w:r>
      <w:r w:rsidRPr="00307829">
        <w:rPr>
          <w:iCs/>
          <w:color w:val="auto"/>
          <w:sz w:val="22"/>
          <w:szCs w:val="22"/>
        </w:rPr>
        <w:t>.</w:t>
      </w:r>
      <w:r w:rsidRPr="004F3F03">
        <w:rPr>
          <w:b/>
          <w:bCs/>
          <w:i/>
          <w:color w:val="auto"/>
          <w:sz w:val="22"/>
          <w:szCs w:val="22"/>
        </w:rPr>
        <w:t xml:space="preserve"> </w:t>
      </w:r>
      <w:r w:rsidRPr="004F3F03">
        <w:rPr>
          <w:bCs/>
          <w:color w:val="auto"/>
          <w:sz w:val="22"/>
          <w:szCs w:val="22"/>
        </w:rPr>
        <w:t>Seznam pověřených osob je zveřejněn na webových stránkách ÚKZÚZ</w:t>
      </w:r>
      <w:r w:rsidRPr="00307829">
        <w:rPr>
          <w:iCs/>
          <w:color w:val="auto"/>
          <w:sz w:val="22"/>
          <w:szCs w:val="22"/>
        </w:rPr>
        <w:t>.</w:t>
      </w:r>
    </w:p>
    <w:p w14:paraId="45A838D5" w14:textId="77777777" w:rsidR="004A6A15" w:rsidRPr="004F3F03" w:rsidRDefault="004A6A15" w:rsidP="004C1878">
      <w:pPr>
        <w:pStyle w:val="Default"/>
        <w:numPr>
          <w:ilvl w:val="0"/>
          <w:numId w:val="6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4F3F03">
        <w:rPr>
          <w:bCs/>
          <w:color w:val="auto"/>
          <w:sz w:val="22"/>
          <w:szCs w:val="22"/>
        </w:rPr>
        <w:t xml:space="preserve">Vzdělávací zařízení bude následně kontaktováno příslušným zaměstnancem ÚKZÚZ a bude dohodnut časový harmonogram daného kurzu či školení. </w:t>
      </w:r>
    </w:p>
    <w:p w14:paraId="619910DA" w14:textId="77777777" w:rsidR="004A6A15" w:rsidRPr="004F3F03" w:rsidRDefault="004A6A15" w:rsidP="00E46E90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  <w:sz w:val="22"/>
          <w:szCs w:val="22"/>
        </w:rPr>
      </w:pPr>
      <w:r w:rsidRPr="004F3F03">
        <w:rPr>
          <w:bCs/>
          <w:color w:val="auto"/>
          <w:sz w:val="22"/>
          <w:szCs w:val="22"/>
        </w:rPr>
        <w:t>ÚKZÚZ může z organizačních nebo kapacitních důvodů</w:t>
      </w:r>
      <w:r w:rsidRPr="004F3F03">
        <w:rPr>
          <w:bCs/>
          <w:color w:val="0070C0"/>
          <w:sz w:val="22"/>
          <w:szCs w:val="22"/>
        </w:rPr>
        <w:t xml:space="preserve"> </w:t>
      </w:r>
      <w:r w:rsidRPr="00307829">
        <w:rPr>
          <w:bCs/>
          <w:iCs/>
          <w:color w:val="auto"/>
          <w:sz w:val="22"/>
          <w:szCs w:val="22"/>
        </w:rPr>
        <w:t>konání zkoušky v termínu požadovaném vzdělávacím zařízením</w:t>
      </w:r>
      <w:r w:rsidRPr="004F3F03">
        <w:rPr>
          <w:bCs/>
          <w:color w:val="auto"/>
          <w:sz w:val="22"/>
          <w:szCs w:val="22"/>
        </w:rPr>
        <w:t xml:space="preserve"> odmítnout, a to nejpozději 3 pracovní dny po doručení požadavku vzdělávacího zařízení. V případě odmítnutí je ÚKZÚZ povinen nabídnout jiný náhradní termín v časovém horizontu maximálně 2 pracovní týdny od data původně požadovaného termínu zkoušky.</w:t>
      </w:r>
    </w:p>
    <w:p w14:paraId="4828745B" w14:textId="77777777" w:rsidR="004A6A15" w:rsidRPr="004F3F03" w:rsidRDefault="004A6A15" w:rsidP="004C1878">
      <w:pPr>
        <w:pStyle w:val="Default"/>
        <w:spacing w:after="120"/>
        <w:ind w:left="720"/>
        <w:jc w:val="both"/>
        <w:rPr>
          <w:bCs/>
          <w:color w:val="auto"/>
          <w:sz w:val="22"/>
          <w:szCs w:val="22"/>
        </w:rPr>
      </w:pPr>
      <w:r w:rsidRPr="004F3F03">
        <w:rPr>
          <w:bCs/>
          <w:color w:val="auto"/>
          <w:sz w:val="22"/>
          <w:szCs w:val="22"/>
        </w:rPr>
        <w:t>Počet zkoušených uchazečů je závislý na kapacitních možnostech daného pracoviště ÚKZÚZ pořádajícího zkoušky z OZ.</w:t>
      </w:r>
    </w:p>
    <w:p w14:paraId="530495E2" w14:textId="02CC1513" w:rsidR="004A6A15" w:rsidRDefault="004A6A15" w:rsidP="004C1878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4F3F03">
        <w:rPr>
          <w:rFonts w:ascii="Times New Roman" w:hAnsi="Times New Roman"/>
          <w:bCs/>
        </w:rPr>
        <w:t xml:space="preserve">Vzdělávací zařízení zajistí řádné </w:t>
      </w:r>
      <w:r w:rsidRPr="00307829">
        <w:rPr>
          <w:rFonts w:ascii="Times New Roman" w:hAnsi="Times New Roman"/>
          <w:bCs/>
          <w:iCs/>
        </w:rPr>
        <w:t>vyplnění a předání žádostí o zkoušku</w:t>
      </w:r>
      <w:r w:rsidR="00B06E69" w:rsidRPr="00307829">
        <w:rPr>
          <w:rFonts w:ascii="Times New Roman" w:hAnsi="Times New Roman"/>
          <w:bCs/>
          <w:iCs/>
        </w:rPr>
        <w:t xml:space="preserve"> III. stupně</w:t>
      </w:r>
      <w:r w:rsidRPr="004F3F03">
        <w:rPr>
          <w:rFonts w:ascii="Times New Roman" w:hAnsi="Times New Roman"/>
          <w:bCs/>
        </w:rPr>
        <w:t xml:space="preserve"> na příslušné pracoviště ÚKZÚZ minimálně 24 hodin </w:t>
      </w:r>
      <w:r w:rsidRPr="00307829">
        <w:rPr>
          <w:rFonts w:ascii="Times New Roman" w:hAnsi="Times New Roman"/>
          <w:bCs/>
          <w:iCs/>
        </w:rPr>
        <w:t>před zahájením zkoušky</w:t>
      </w:r>
      <w:r w:rsidRPr="004F3F03">
        <w:rPr>
          <w:rFonts w:ascii="Times New Roman" w:hAnsi="Times New Roman"/>
          <w:bCs/>
        </w:rPr>
        <w:t>, včetně řádného vyplnění v</w:t>
      </w:r>
      <w:r w:rsidR="00CC4F5F">
        <w:rPr>
          <w:rFonts w:ascii="Times New Roman" w:hAnsi="Times New Roman"/>
          <w:bCs/>
        </w:rPr>
        <w:t> </w:t>
      </w:r>
      <w:r w:rsidR="00534312">
        <w:rPr>
          <w:rFonts w:ascii="Times New Roman" w:hAnsi="Times New Roman"/>
          <w:bCs/>
        </w:rPr>
        <w:t>IS</w:t>
      </w:r>
      <w:r w:rsidRPr="004F3F03">
        <w:rPr>
          <w:rFonts w:ascii="Times New Roman" w:hAnsi="Times New Roman"/>
          <w:bCs/>
        </w:rPr>
        <w:t>. Nezajištění těchto požadavků může být důvodem pro odmítnutí vykonání zkoušek pracovištěm ÚKZÚZ.</w:t>
      </w:r>
    </w:p>
    <w:p w14:paraId="5D086D81" w14:textId="7453CB03" w:rsidR="00181A68" w:rsidRPr="00307829" w:rsidRDefault="00181A68" w:rsidP="00E46E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Vzdělávací zařízení </w:t>
      </w:r>
      <w:proofErr w:type="gramStart"/>
      <w:r>
        <w:rPr>
          <w:rFonts w:ascii="Times New Roman" w:hAnsi="Times New Roman"/>
          <w:bCs/>
        </w:rPr>
        <w:t>obdrží</w:t>
      </w:r>
      <w:proofErr w:type="gramEnd"/>
      <w:r>
        <w:rPr>
          <w:rFonts w:ascii="Times New Roman" w:hAnsi="Times New Roman"/>
          <w:bCs/>
        </w:rPr>
        <w:t xml:space="preserve"> od ÚKZÚZ </w:t>
      </w:r>
      <w:r w:rsidRPr="00307829">
        <w:rPr>
          <w:rFonts w:ascii="Times New Roman" w:hAnsi="Times New Roman"/>
          <w:bCs/>
        </w:rPr>
        <w:t xml:space="preserve">písemné testy pro provádění zkoušek OZ II. stupně, včetně šablon pro vyplňování a následné vyhodnocování zkušebních otázek. Vzdělávací zařízení se zavazuje, že testy pro provádění zkoušek OZ II. stupně žádným způsobem nezveřejní a </w:t>
      </w:r>
      <w:r w:rsidR="00FF3C7D">
        <w:rPr>
          <w:rFonts w:ascii="Times New Roman" w:hAnsi="Times New Roman"/>
          <w:bCs/>
        </w:rPr>
        <w:t>zajistí, aby nedošlo k jejich zneužití nebo odcizení</w:t>
      </w:r>
      <w:r w:rsidRPr="00307829">
        <w:rPr>
          <w:rFonts w:ascii="Times New Roman" w:hAnsi="Times New Roman"/>
          <w:bCs/>
        </w:rPr>
        <w:t xml:space="preserve"> třetí osobou.</w:t>
      </w:r>
    </w:p>
    <w:p w14:paraId="71F6DC3C" w14:textId="77777777" w:rsidR="004A6A15" w:rsidRPr="004F3F03" w:rsidRDefault="004A6A15" w:rsidP="004A6A15">
      <w:pPr>
        <w:pStyle w:val="Default"/>
        <w:tabs>
          <w:tab w:val="left" w:pos="1290"/>
        </w:tabs>
        <w:spacing w:after="120"/>
        <w:ind w:left="720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ab/>
      </w:r>
    </w:p>
    <w:p w14:paraId="266BE189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 xml:space="preserve">Článek </w:t>
      </w:r>
      <w:r w:rsidR="00D14938">
        <w:rPr>
          <w:b/>
          <w:bCs/>
          <w:color w:val="auto"/>
          <w:sz w:val="22"/>
          <w:szCs w:val="22"/>
        </w:rPr>
        <w:t>V.</w:t>
      </w:r>
    </w:p>
    <w:p w14:paraId="13B80270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 xml:space="preserve">Povinnosti smluvních stran v rámci zveřejňování nabídky školení a </w:t>
      </w:r>
      <w:r w:rsidR="00534322">
        <w:rPr>
          <w:b/>
          <w:bCs/>
          <w:color w:val="auto"/>
          <w:sz w:val="22"/>
          <w:szCs w:val="22"/>
        </w:rPr>
        <w:t>kurzů</w:t>
      </w:r>
    </w:p>
    <w:p w14:paraId="154248F9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2AF63A78" w14:textId="77777777" w:rsidR="004A6A15" w:rsidRPr="004F3F03" w:rsidRDefault="004A6A15" w:rsidP="004A6A15">
      <w:pPr>
        <w:pStyle w:val="Default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ÚKZÚZ neprodleně zveřejní nabídku plánovaných školení a </w:t>
      </w:r>
      <w:r w:rsidR="00534322">
        <w:rPr>
          <w:color w:val="auto"/>
          <w:sz w:val="22"/>
          <w:szCs w:val="22"/>
        </w:rPr>
        <w:t xml:space="preserve">kurzů </w:t>
      </w:r>
      <w:r w:rsidRPr="004F3F03">
        <w:rPr>
          <w:color w:val="auto"/>
          <w:sz w:val="22"/>
          <w:szCs w:val="22"/>
        </w:rPr>
        <w:t xml:space="preserve">vzdělávacího zařízení na webových stránkách ÚKZÚZ, a to na základě a v rozsahu údajů zadaných vzdělávacím zařízením do </w:t>
      </w:r>
      <w:r w:rsidR="00FC3ECE">
        <w:rPr>
          <w:color w:val="auto"/>
          <w:sz w:val="22"/>
          <w:szCs w:val="22"/>
        </w:rPr>
        <w:t>IS</w:t>
      </w:r>
      <w:r w:rsidRPr="004F3F03">
        <w:rPr>
          <w:color w:val="auto"/>
          <w:sz w:val="22"/>
          <w:szCs w:val="22"/>
        </w:rPr>
        <w:t>.</w:t>
      </w:r>
    </w:p>
    <w:p w14:paraId="432DE868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5339BD50" w14:textId="77777777" w:rsidR="00943D92" w:rsidRDefault="00943D92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920969A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Článek V</w:t>
      </w:r>
      <w:r w:rsidR="00D14938">
        <w:rPr>
          <w:b/>
          <w:bCs/>
          <w:color w:val="auto"/>
          <w:sz w:val="22"/>
          <w:szCs w:val="22"/>
        </w:rPr>
        <w:t>I.</w:t>
      </w:r>
    </w:p>
    <w:p w14:paraId="223E8B68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Povinnosti smluvních stran v rámci počítačové bezpečnosti</w:t>
      </w:r>
    </w:p>
    <w:p w14:paraId="5476D91D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6E74208C" w14:textId="5D488F80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Zaměstnanci vzdělávací</w:t>
      </w:r>
      <w:r w:rsidR="00942DFF">
        <w:rPr>
          <w:color w:val="auto"/>
          <w:sz w:val="22"/>
          <w:szCs w:val="22"/>
        </w:rPr>
        <w:t xml:space="preserve">ho </w:t>
      </w:r>
      <w:r w:rsidRPr="004F3F03">
        <w:rPr>
          <w:color w:val="auto"/>
          <w:sz w:val="22"/>
          <w:szCs w:val="22"/>
        </w:rPr>
        <w:t xml:space="preserve">zařízení i ÚKZÚZ jsou povinni: </w:t>
      </w:r>
    </w:p>
    <w:p w14:paraId="78119417" w14:textId="77777777" w:rsidR="004A6A15" w:rsidRPr="004F3F03" w:rsidRDefault="004A6A15" w:rsidP="004A6A15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dodržovat </w:t>
      </w:r>
      <w:r w:rsidRPr="004F3F03">
        <w:rPr>
          <w:i/>
          <w:iCs/>
          <w:color w:val="auto"/>
          <w:sz w:val="22"/>
          <w:szCs w:val="22"/>
        </w:rPr>
        <w:t xml:space="preserve">Základní informace a pravidla zabezpečení počítače při přístupu k Informačním systémům </w:t>
      </w:r>
      <w:proofErr w:type="spellStart"/>
      <w:r w:rsidRPr="004F3F03">
        <w:rPr>
          <w:i/>
          <w:iCs/>
          <w:color w:val="auto"/>
          <w:sz w:val="22"/>
          <w:szCs w:val="22"/>
        </w:rPr>
        <w:t>MZe</w:t>
      </w:r>
      <w:proofErr w:type="spellEnd"/>
      <w:r w:rsidRPr="004F3F03">
        <w:rPr>
          <w:i/>
          <w:iCs/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 xml:space="preserve">(viz </w:t>
      </w:r>
      <w:hyperlink r:id="rId19" w:history="1">
        <w:r w:rsidRPr="004F3F03">
          <w:rPr>
            <w:rStyle w:val="Hypertextovodkaz"/>
            <w:color w:val="auto"/>
            <w:sz w:val="22"/>
            <w:szCs w:val="22"/>
          </w:rPr>
          <w:t>https://vpn.mze.cz/+CSCOU+/login/login2.htm</w:t>
        </w:r>
      </w:hyperlink>
      <w:r w:rsidRPr="004F3F03">
        <w:rPr>
          <w:color w:val="auto"/>
          <w:sz w:val="22"/>
          <w:szCs w:val="22"/>
        </w:rPr>
        <w:t xml:space="preserve">), </w:t>
      </w:r>
    </w:p>
    <w:p w14:paraId="556B32A9" w14:textId="77777777" w:rsidR="004A6A15" w:rsidRPr="004F3F03" w:rsidRDefault="004A6A15" w:rsidP="004A6A15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neprodleně ohlásit zjištění chyb či připomínek vzniklých při práci v</w:t>
      </w:r>
      <w:r w:rsidR="00DC023F">
        <w:rPr>
          <w:color w:val="auto"/>
          <w:sz w:val="22"/>
          <w:szCs w:val="22"/>
        </w:rPr>
        <w:t> </w:t>
      </w:r>
      <w:r w:rsidR="00506102">
        <w:rPr>
          <w:color w:val="auto"/>
          <w:sz w:val="22"/>
          <w:szCs w:val="22"/>
        </w:rPr>
        <w:t>IS</w:t>
      </w:r>
      <w:r w:rsidR="00534322">
        <w:rPr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 xml:space="preserve">na adresu helpdesk@ukzuz.cz, </w:t>
      </w:r>
    </w:p>
    <w:p w14:paraId="0C83646D" w14:textId="77777777" w:rsidR="004A6A15" w:rsidRPr="004F3F03" w:rsidRDefault="004A6A15" w:rsidP="004A6A15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neprodleně si vzájemně sdělovat informace o jakýchkoliv poznatcích o neoprávněném přístupu, možném ohrožení bezpečnosti či rizicích zneužití údajů uložených</w:t>
      </w:r>
      <w:r w:rsidR="00986887">
        <w:rPr>
          <w:color w:val="auto"/>
          <w:sz w:val="22"/>
          <w:szCs w:val="22"/>
        </w:rPr>
        <w:t xml:space="preserve"> v</w:t>
      </w:r>
      <w:r w:rsidR="00DC023F">
        <w:rPr>
          <w:color w:val="auto"/>
          <w:sz w:val="22"/>
          <w:szCs w:val="22"/>
        </w:rPr>
        <w:t> </w:t>
      </w:r>
      <w:r w:rsidR="00366431">
        <w:rPr>
          <w:color w:val="auto"/>
          <w:sz w:val="22"/>
          <w:szCs w:val="22"/>
        </w:rPr>
        <w:t>IS</w:t>
      </w:r>
      <w:r w:rsidR="00986887">
        <w:rPr>
          <w:color w:val="auto"/>
          <w:sz w:val="22"/>
          <w:szCs w:val="22"/>
        </w:rPr>
        <w:t>,</w:t>
      </w:r>
      <w:r w:rsidR="00D1348C">
        <w:rPr>
          <w:color w:val="auto"/>
          <w:sz w:val="22"/>
          <w:szCs w:val="22"/>
        </w:rPr>
        <w:t xml:space="preserve"> </w:t>
      </w:r>
    </w:p>
    <w:p w14:paraId="27B053B6" w14:textId="083C966C" w:rsidR="004A6A15" w:rsidRPr="004F3F03" w:rsidRDefault="004A6A15" w:rsidP="00307829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zachovávat mlčenlivost o údajích vztahujících se k jednotlivým fyzickým osobám. </w:t>
      </w:r>
      <w:r w:rsidR="00F2102A" w:rsidRPr="00F2102A">
        <w:rPr>
          <w:color w:val="auto"/>
          <w:sz w:val="22"/>
          <w:szCs w:val="22"/>
        </w:rPr>
        <w:t>Po obdržení údajů, které se podle nařízení Evropského parlamentu a rady (EU) 2016/679, o ochraně fyzických osob v souvislosti se zpracováním osobních údajů a o volném pohybu těchto údajů a</w:t>
      </w:r>
      <w:r w:rsidR="00AE5006">
        <w:rPr>
          <w:color w:val="auto"/>
          <w:sz w:val="22"/>
          <w:szCs w:val="22"/>
        </w:rPr>
        <w:t> </w:t>
      </w:r>
      <w:r w:rsidR="00F2102A" w:rsidRPr="00F2102A">
        <w:rPr>
          <w:color w:val="auto"/>
          <w:sz w:val="22"/>
          <w:szCs w:val="22"/>
        </w:rPr>
        <w:t xml:space="preserve">podle zákona č. 110/2019 Sb., o zpracování osobních údajů, </w:t>
      </w:r>
      <w:r w:rsidR="003E3CAA">
        <w:rPr>
          <w:color w:val="auto"/>
          <w:sz w:val="22"/>
          <w:szCs w:val="22"/>
        </w:rPr>
        <w:t>ve znění pozdějších předpisů</w:t>
      </w:r>
      <w:r w:rsidR="00F2102A" w:rsidRPr="00F2102A">
        <w:rPr>
          <w:color w:val="auto"/>
          <w:sz w:val="22"/>
          <w:szCs w:val="22"/>
        </w:rPr>
        <w:t xml:space="preserve">, považují za osobní údaje požívající ochrany podle těchto právních </w:t>
      </w:r>
      <w:r w:rsidR="00A772B1">
        <w:rPr>
          <w:color w:val="auto"/>
          <w:sz w:val="22"/>
          <w:szCs w:val="22"/>
        </w:rPr>
        <w:t>předpisů</w:t>
      </w:r>
      <w:r w:rsidR="00F2102A" w:rsidRPr="00F2102A">
        <w:rPr>
          <w:color w:val="auto"/>
          <w:sz w:val="22"/>
          <w:szCs w:val="22"/>
        </w:rPr>
        <w:t xml:space="preserve">, se obě smluvní strany zavazují postupovat v souladu s těmito </w:t>
      </w:r>
      <w:r w:rsidR="00A772B1">
        <w:rPr>
          <w:color w:val="auto"/>
          <w:sz w:val="22"/>
          <w:szCs w:val="22"/>
        </w:rPr>
        <w:t>předpisy</w:t>
      </w:r>
      <w:r w:rsidR="00F2102A">
        <w:rPr>
          <w:color w:val="auto"/>
          <w:sz w:val="22"/>
          <w:szCs w:val="22"/>
        </w:rPr>
        <w:t>.</w:t>
      </w:r>
    </w:p>
    <w:p w14:paraId="328823BE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3BBBBA0" w14:textId="75BF7C87" w:rsidR="004A6A15" w:rsidRPr="004F3F03" w:rsidRDefault="00D14938" w:rsidP="004A6A1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Článek VII.</w:t>
      </w:r>
    </w:p>
    <w:p w14:paraId="3419C716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Sankce</w:t>
      </w:r>
    </w:p>
    <w:p w14:paraId="5BF7684A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3D68BBCB" w14:textId="6F7BD3A0" w:rsidR="004A6A15" w:rsidRPr="004F3F03" w:rsidRDefault="004A6A15" w:rsidP="004A44CD">
      <w:pPr>
        <w:pStyle w:val="Default"/>
        <w:numPr>
          <w:ilvl w:val="0"/>
          <w:numId w:val="9"/>
        </w:numPr>
        <w:jc w:val="both"/>
        <w:rPr>
          <w:bCs/>
          <w:color w:val="auto"/>
          <w:sz w:val="22"/>
          <w:szCs w:val="22"/>
        </w:rPr>
      </w:pPr>
      <w:r w:rsidRPr="004F3F03">
        <w:rPr>
          <w:bCs/>
          <w:color w:val="auto"/>
          <w:sz w:val="22"/>
          <w:szCs w:val="22"/>
        </w:rPr>
        <w:t>V případě neplnění povinností, podle Čl. I</w:t>
      </w:r>
      <w:r w:rsidR="00A07B7A">
        <w:rPr>
          <w:bCs/>
          <w:color w:val="auto"/>
          <w:sz w:val="22"/>
          <w:szCs w:val="22"/>
        </w:rPr>
        <w:t>I</w:t>
      </w:r>
      <w:r w:rsidRPr="004F3F03">
        <w:rPr>
          <w:bCs/>
          <w:color w:val="auto"/>
          <w:sz w:val="22"/>
          <w:szCs w:val="22"/>
        </w:rPr>
        <w:t xml:space="preserve">I </w:t>
      </w:r>
      <w:r w:rsidRPr="004F3F03">
        <w:rPr>
          <w:color w:val="auto"/>
          <w:sz w:val="22"/>
          <w:szCs w:val="22"/>
        </w:rPr>
        <w:t xml:space="preserve">ze strany vzdělávacího zařízení má ÚKZÚZ právo </w:t>
      </w:r>
      <w:r w:rsidRPr="004F3F03">
        <w:rPr>
          <w:bCs/>
          <w:color w:val="auto"/>
          <w:sz w:val="22"/>
          <w:szCs w:val="22"/>
        </w:rPr>
        <w:t>požadovat u vzdělávacího zařízení nápravu, a to nejpozději 3 pracovní dny po doručení požadavku vzdělávacího zařízení. Pokud požadovaná náprava nebude splněna, má ÚKZÚZ právo požadavku termínu zkoušky nevyhovět.</w:t>
      </w:r>
    </w:p>
    <w:p w14:paraId="75F93D93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75BC20A4" w14:textId="77777777" w:rsidR="004A6A15" w:rsidRPr="004F3F03" w:rsidRDefault="004A6A15" w:rsidP="004A44CD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V případě neplnění výše uvedených povinností ze strany vzdělávacího zařízení, má ÚKZÚZ právo podat podnět na </w:t>
      </w:r>
      <w:proofErr w:type="spellStart"/>
      <w:r w:rsidRPr="004F3F03">
        <w:rPr>
          <w:color w:val="auto"/>
          <w:sz w:val="22"/>
          <w:szCs w:val="22"/>
        </w:rPr>
        <w:t>MZe</w:t>
      </w:r>
      <w:proofErr w:type="spellEnd"/>
      <w:r w:rsidRPr="004F3F03">
        <w:rPr>
          <w:color w:val="auto"/>
          <w:sz w:val="22"/>
          <w:szCs w:val="22"/>
        </w:rPr>
        <w:t xml:space="preserve"> k odstranění nedostatků, eventuálně v případě opakovaného neplnění</w:t>
      </w:r>
      <w:r w:rsidRPr="004F3F03">
        <w:rPr>
          <w:b/>
          <w:color w:val="auto"/>
          <w:sz w:val="22"/>
          <w:szCs w:val="22"/>
        </w:rPr>
        <w:t xml:space="preserve">, </w:t>
      </w:r>
      <w:r w:rsidRPr="004F3F03">
        <w:rPr>
          <w:color w:val="auto"/>
          <w:sz w:val="22"/>
          <w:szCs w:val="22"/>
        </w:rPr>
        <w:t xml:space="preserve">podnět k odebrání pověření pro vykonávání kurzů a školení OZ. </w:t>
      </w:r>
    </w:p>
    <w:p w14:paraId="4D3D37AD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408DCAAE" w14:textId="77777777" w:rsidR="004A6A15" w:rsidRPr="004F3F03" w:rsidRDefault="004A6A15" w:rsidP="004A44CD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V případě neplnění výše uvedených povinností ze strany ÚKZÚZ má vzdělávací zařízení právo podat podnět k odstranění nedostatků na </w:t>
      </w:r>
      <w:proofErr w:type="spellStart"/>
      <w:r w:rsidRPr="004F3F03">
        <w:rPr>
          <w:color w:val="auto"/>
          <w:sz w:val="22"/>
          <w:szCs w:val="22"/>
        </w:rPr>
        <w:t>MZe</w:t>
      </w:r>
      <w:proofErr w:type="spellEnd"/>
      <w:r w:rsidRPr="004F3F03">
        <w:rPr>
          <w:color w:val="auto"/>
          <w:sz w:val="22"/>
          <w:szCs w:val="22"/>
        </w:rPr>
        <w:t>.</w:t>
      </w:r>
    </w:p>
    <w:p w14:paraId="1AA53F18" w14:textId="77777777" w:rsidR="004A6A15" w:rsidRPr="004F3F03" w:rsidRDefault="004A6A15" w:rsidP="004A6A15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07232F1" w14:textId="4A0898FE" w:rsidR="00890663" w:rsidRDefault="00890663" w:rsidP="004A6A15">
      <w:pPr>
        <w:pStyle w:val="Default"/>
        <w:rPr>
          <w:color w:val="auto"/>
          <w:sz w:val="22"/>
          <w:szCs w:val="22"/>
        </w:rPr>
      </w:pPr>
    </w:p>
    <w:p w14:paraId="066233AB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 xml:space="preserve">Článek </w:t>
      </w:r>
      <w:r w:rsidRPr="008F518B">
        <w:rPr>
          <w:b/>
          <w:bCs/>
          <w:color w:val="auto"/>
          <w:sz w:val="22"/>
          <w:szCs w:val="22"/>
        </w:rPr>
        <w:t>VI</w:t>
      </w:r>
      <w:r w:rsidR="00D14938">
        <w:rPr>
          <w:b/>
          <w:bCs/>
          <w:color w:val="auto"/>
          <w:sz w:val="22"/>
          <w:szCs w:val="22"/>
        </w:rPr>
        <w:t>II.</w:t>
      </w:r>
    </w:p>
    <w:p w14:paraId="0064E1B8" w14:textId="77777777" w:rsidR="004A6A15" w:rsidRPr="004F3F03" w:rsidRDefault="004A6A15" w:rsidP="004A6A1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F3F03">
        <w:rPr>
          <w:b/>
          <w:bCs/>
          <w:color w:val="auto"/>
          <w:sz w:val="22"/>
          <w:szCs w:val="22"/>
        </w:rPr>
        <w:t>Závěrečná ustanovení</w:t>
      </w:r>
    </w:p>
    <w:p w14:paraId="393404F8" w14:textId="77777777" w:rsidR="004A6A15" w:rsidRPr="004F3F03" w:rsidRDefault="004A6A15" w:rsidP="004A6A15">
      <w:pPr>
        <w:pStyle w:val="Default"/>
        <w:jc w:val="center"/>
        <w:rPr>
          <w:color w:val="auto"/>
          <w:sz w:val="22"/>
          <w:szCs w:val="22"/>
        </w:rPr>
      </w:pPr>
    </w:p>
    <w:p w14:paraId="1BAF6F9F" w14:textId="77777777" w:rsidR="004A6A15" w:rsidRPr="004F3F03" w:rsidRDefault="004A6A15" w:rsidP="004C1878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Tato smlouva se uzavírá na dobu neurčitou s tříměsíční výpovědní lhůtou, která počíná prvním dnem měsíce následujícího po doručení výpovědi druhé smluvní straně. Platnost a účinnost této smlouvy je dána dnem podpisu smluvních stran. </w:t>
      </w:r>
    </w:p>
    <w:p w14:paraId="3459DA3D" w14:textId="2C17E48B" w:rsidR="004A6A15" w:rsidRPr="004F3F03" w:rsidRDefault="004A6A15" w:rsidP="004C1878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>Smlouva může být ukončena vzájemnou dohodou smluvních stran, nebo odstoupením od</w:t>
      </w:r>
      <w:r w:rsidR="00AE5006">
        <w:rPr>
          <w:color w:val="auto"/>
          <w:sz w:val="22"/>
          <w:szCs w:val="22"/>
        </w:rPr>
        <w:t> </w:t>
      </w:r>
      <w:r w:rsidRPr="004F3F03">
        <w:rPr>
          <w:color w:val="auto"/>
          <w:sz w:val="22"/>
          <w:szCs w:val="22"/>
        </w:rPr>
        <w:t>smlouvy v případě závažného porušení povinností stanovených touto smlouvou, nebo z</w:t>
      </w:r>
      <w:r w:rsidR="00AE5006">
        <w:rPr>
          <w:color w:val="auto"/>
          <w:sz w:val="22"/>
          <w:szCs w:val="22"/>
        </w:rPr>
        <w:t> </w:t>
      </w:r>
      <w:r w:rsidRPr="004F3F03">
        <w:rPr>
          <w:color w:val="auto"/>
          <w:sz w:val="22"/>
          <w:szCs w:val="22"/>
        </w:rPr>
        <w:t xml:space="preserve">důvodů stanovených zákonem nebo právní mocí rozhodnutí </w:t>
      </w:r>
      <w:proofErr w:type="spellStart"/>
      <w:r w:rsidRPr="004F3F03">
        <w:rPr>
          <w:color w:val="auto"/>
          <w:sz w:val="22"/>
          <w:szCs w:val="22"/>
        </w:rPr>
        <w:t>MZe</w:t>
      </w:r>
      <w:proofErr w:type="spellEnd"/>
      <w:r w:rsidRPr="004F3F03">
        <w:rPr>
          <w:color w:val="auto"/>
          <w:sz w:val="22"/>
          <w:szCs w:val="22"/>
        </w:rPr>
        <w:t xml:space="preserve"> o odnětí pověření vzdělávacímu zařízení podle § 86a odst. 4 zákona</w:t>
      </w:r>
      <w:r w:rsidR="005F11B5">
        <w:rPr>
          <w:color w:val="auto"/>
          <w:sz w:val="22"/>
          <w:szCs w:val="22"/>
        </w:rPr>
        <w:t xml:space="preserve">. </w:t>
      </w:r>
      <w:r w:rsidR="005F11B5" w:rsidRPr="005F11B5">
        <w:rPr>
          <w:color w:val="auto"/>
          <w:sz w:val="22"/>
          <w:szCs w:val="22"/>
        </w:rPr>
        <w:t xml:space="preserve">Smlouva rovněž </w:t>
      </w:r>
      <w:proofErr w:type="gramStart"/>
      <w:r w:rsidR="005F11B5" w:rsidRPr="005F11B5">
        <w:rPr>
          <w:color w:val="auto"/>
          <w:sz w:val="22"/>
          <w:szCs w:val="22"/>
        </w:rPr>
        <w:t>končí</w:t>
      </w:r>
      <w:proofErr w:type="gramEnd"/>
      <w:r w:rsidR="005F11B5" w:rsidRPr="005F11B5">
        <w:rPr>
          <w:color w:val="auto"/>
          <w:sz w:val="22"/>
          <w:szCs w:val="22"/>
        </w:rPr>
        <w:t xml:space="preserve"> dnem vyrozuměném </w:t>
      </w:r>
      <w:proofErr w:type="spellStart"/>
      <w:r w:rsidR="005F11B5" w:rsidRPr="005F11B5">
        <w:rPr>
          <w:color w:val="auto"/>
          <w:sz w:val="22"/>
          <w:szCs w:val="22"/>
        </w:rPr>
        <w:t>MZe</w:t>
      </w:r>
      <w:proofErr w:type="spellEnd"/>
      <w:r w:rsidR="005F11B5" w:rsidRPr="005F11B5">
        <w:rPr>
          <w:color w:val="auto"/>
          <w:sz w:val="22"/>
          <w:szCs w:val="22"/>
        </w:rPr>
        <w:t xml:space="preserve"> o ukončení platnosti pověření, které se uskuteční tak, že </w:t>
      </w:r>
      <w:proofErr w:type="spellStart"/>
      <w:r w:rsidR="005F11B5" w:rsidRPr="005F11B5">
        <w:rPr>
          <w:color w:val="auto"/>
          <w:sz w:val="22"/>
          <w:szCs w:val="22"/>
        </w:rPr>
        <w:t>MZe</w:t>
      </w:r>
      <w:proofErr w:type="spellEnd"/>
      <w:r w:rsidR="005F11B5" w:rsidRPr="005F11B5">
        <w:rPr>
          <w:color w:val="auto"/>
          <w:sz w:val="22"/>
          <w:szCs w:val="22"/>
        </w:rPr>
        <w:t xml:space="preserve"> předá ÚKZÚZ aktualizovaný seznam po</w:t>
      </w:r>
      <w:r w:rsidR="005F11B5">
        <w:rPr>
          <w:color w:val="auto"/>
          <w:sz w:val="22"/>
          <w:szCs w:val="22"/>
        </w:rPr>
        <w:t>věřených vzdělávacích zařízení</w:t>
      </w:r>
      <w:r w:rsidRPr="004F3F03">
        <w:rPr>
          <w:color w:val="auto"/>
          <w:sz w:val="22"/>
          <w:szCs w:val="22"/>
        </w:rPr>
        <w:t>. Za podstatné porušení smlouvy se (pro účely této smlouvy) považuje zejména dlouhodobé prodlení</w:t>
      </w:r>
      <w:r w:rsidR="002A4DAB">
        <w:rPr>
          <w:color w:val="auto"/>
          <w:sz w:val="22"/>
          <w:szCs w:val="22"/>
        </w:rPr>
        <w:t xml:space="preserve"> se splněním informační povinnosti podle </w:t>
      </w:r>
      <w:r w:rsidR="002A4DAB" w:rsidRPr="00031933">
        <w:rPr>
          <w:color w:val="auto"/>
          <w:sz w:val="22"/>
          <w:szCs w:val="22"/>
        </w:rPr>
        <w:t>Čl. I</w:t>
      </w:r>
      <w:r w:rsidR="002074D4">
        <w:rPr>
          <w:color w:val="auto"/>
          <w:sz w:val="22"/>
          <w:szCs w:val="22"/>
        </w:rPr>
        <w:t>I</w:t>
      </w:r>
      <w:r w:rsidR="002A4DAB" w:rsidRPr="00031933">
        <w:rPr>
          <w:color w:val="auto"/>
          <w:sz w:val="22"/>
          <w:szCs w:val="22"/>
        </w:rPr>
        <w:t xml:space="preserve">I, odst. </w:t>
      </w:r>
      <w:r w:rsidR="0057002F">
        <w:rPr>
          <w:color w:val="auto"/>
          <w:sz w:val="22"/>
          <w:szCs w:val="22"/>
        </w:rPr>
        <w:t>3</w:t>
      </w:r>
      <w:r w:rsidR="002A4DAB" w:rsidRPr="00031933">
        <w:rPr>
          <w:color w:val="auto"/>
          <w:sz w:val="22"/>
          <w:szCs w:val="22"/>
        </w:rPr>
        <w:t xml:space="preserve">, písm. b) </w:t>
      </w:r>
      <w:r w:rsidRPr="00031933">
        <w:rPr>
          <w:color w:val="auto"/>
          <w:sz w:val="22"/>
          <w:szCs w:val="22"/>
        </w:rPr>
        <w:t xml:space="preserve">(delší než 1 měsíc) </w:t>
      </w:r>
      <w:r w:rsidR="002A4DAB" w:rsidRPr="00031933">
        <w:rPr>
          <w:color w:val="auto"/>
          <w:sz w:val="22"/>
          <w:szCs w:val="22"/>
        </w:rPr>
        <w:t>ode dne změny v oprávnění k přístupu do systému</w:t>
      </w:r>
      <w:r w:rsidRPr="004F3F03">
        <w:rPr>
          <w:color w:val="auto"/>
          <w:sz w:val="22"/>
          <w:szCs w:val="22"/>
        </w:rPr>
        <w:t>, dlouhodobé neplnění (delší než 1 měsíc) povinnosti podle Čl. I</w:t>
      </w:r>
      <w:r w:rsidR="002074D4">
        <w:rPr>
          <w:color w:val="auto"/>
          <w:sz w:val="22"/>
          <w:szCs w:val="22"/>
        </w:rPr>
        <w:t>I</w:t>
      </w:r>
      <w:r w:rsidRPr="004F3F03">
        <w:rPr>
          <w:color w:val="auto"/>
          <w:sz w:val="22"/>
          <w:szCs w:val="22"/>
        </w:rPr>
        <w:t xml:space="preserve">I, odst. </w:t>
      </w:r>
      <w:r w:rsidR="0057002F">
        <w:rPr>
          <w:color w:val="auto"/>
          <w:sz w:val="22"/>
          <w:szCs w:val="22"/>
        </w:rPr>
        <w:t>3</w:t>
      </w:r>
      <w:r w:rsidRPr="004F3F03">
        <w:rPr>
          <w:color w:val="auto"/>
          <w:sz w:val="22"/>
          <w:szCs w:val="22"/>
        </w:rPr>
        <w:t xml:space="preserve">, písm. </w:t>
      </w:r>
      <w:r w:rsidR="00FC461A">
        <w:rPr>
          <w:color w:val="auto"/>
          <w:sz w:val="22"/>
          <w:szCs w:val="22"/>
        </w:rPr>
        <w:t>d</w:t>
      </w:r>
      <w:r w:rsidRPr="004F3F03">
        <w:rPr>
          <w:color w:val="auto"/>
          <w:sz w:val="22"/>
          <w:szCs w:val="22"/>
        </w:rPr>
        <w:t xml:space="preserve">), porušení povinnosti podle </w:t>
      </w:r>
      <w:r w:rsidR="00F2102A" w:rsidRPr="00F2102A">
        <w:rPr>
          <w:color w:val="auto"/>
          <w:sz w:val="22"/>
          <w:szCs w:val="22"/>
        </w:rPr>
        <w:t>Čl. IV, odst. 5</w:t>
      </w:r>
      <w:r w:rsidR="00F2102A">
        <w:rPr>
          <w:color w:val="auto"/>
          <w:sz w:val="22"/>
          <w:szCs w:val="22"/>
        </w:rPr>
        <w:t xml:space="preserve"> a </w:t>
      </w:r>
      <w:r w:rsidRPr="004F3F03">
        <w:rPr>
          <w:color w:val="auto"/>
          <w:sz w:val="22"/>
          <w:szCs w:val="22"/>
        </w:rPr>
        <w:t>Čl. V</w:t>
      </w:r>
      <w:r w:rsidR="001C1D6E">
        <w:rPr>
          <w:color w:val="auto"/>
          <w:sz w:val="22"/>
          <w:szCs w:val="22"/>
        </w:rPr>
        <w:t>I</w:t>
      </w:r>
      <w:r w:rsidRPr="004F3F03">
        <w:rPr>
          <w:color w:val="auto"/>
          <w:sz w:val="22"/>
          <w:szCs w:val="22"/>
        </w:rPr>
        <w:t>, písm. a) a písm. d</w:t>
      </w:r>
      <w:r w:rsidR="00D1348C">
        <w:rPr>
          <w:color w:val="auto"/>
          <w:sz w:val="22"/>
          <w:szCs w:val="22"/>
        </w:rPr>
        <w:t>)</w:t>
      </w:r>
      <w:r w:rsidRPr="004F3F03">
        <w:rPr>
          <w:color w:val="auto"/>
          <w:sz w:val="22"/>
          <w:szCs w:val="22"/>
        </w:rPr>
        <w:t>.</w:t>
      </w:r>
      <w:r w:rsidR="00F2102A">
        <w:rPr>
          <w:color w:val="auto"/>
          <w:sz w:val="22"/>
          <w:szCs w:val="22"/>
        </w:rPr>
        <w:t xml:space="preserve"> </w:t>
      </w:r>
      <w:r w:rsidRPr="004F3F03">
        <w:rPr>
          <w:color w:val="auto"/>
          <w:sz w:val="22"/>
          <w:szCs w:val="22"/>
        </w:rPr>
        <w:t xml:space="preserve"> </w:t>
      </w:r>
    </w:p>
    <w:p w14:paraId="761627D4" w14:textId="77777777" w:rsidR="004A6A15" w:rsidRPr="004F3F03" w:rsidRDefault="004A6A15" w:rsidP="004C1878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Odstoupení od smlouvy nabývá účinnosti dnem doručení písemného oznámení o odstoupení druhé smluvní straně. </w:t>
      </w:r>
    </w:p>
    <w:p w14:paraId="4B02EFC5" w14:textId="77777777" w:rsidR="004A6A15" w:rsidRPr="004F3F03" w:rsidRDefault="004A6A15" w:rsidP="004C1878">
      <w:pPr>
        <w:pStyle w:val="Default"/>
        <w:numPr>
          <w:ilvl w:val="0"/>
          <w:numId w:val="5"/>
        </w:numPr>
        <w:spacing w:after="120"/>
        <w:ind w:left="714" w:hanging="357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Změny a doplňky této smlouvy mohou být prováděny pouze písemnou formou. </w:t>
      </w:r>
    </w:p>
    <w:p w14:paraId="4AB526DE" w14:textId="77777777" w:rsidR="004A6A15" w:rsidRPr="004F3F03" w:rsidRDefault="004A6A15" w:rsidP="004C1878">
      <w:pPr>
        <w:pStyle w:val="Default"/>
        <w:numPr>
          <w:ilvl w:val="0"/>
          <w:numId w:val="5"/>
        </w:numPr>
        <w:spacing w:after="120"/>
        <w:ind w:left="714" w:hanging="357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Smluvní strany se zavazují řešit případné spory přednostně vzájemnou dohodou. </w:t>
      </w:r>
    </w:p>
    <w:p w14:paraId="22A0E55F" w14:textId="2C1197FD" w:rsidR="004A6A15" w:rsidRPr="004F3F03" w:rsidRDefault="004A6A15" w:rsidP="004C1878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Touto smlouvou se </w:t>
      </w:r>
      <w:proofErr w:type="gramStart"/>
      <w:r w:rsidRPr="004F3F03">
        <w:rPr>
          <w:color w:val="auto"/>
          <w:sz w:val="22"/>
          <w:szCs w:val="22"/>
        </w:rPr>
        <w:t>ruší</w:t>
      </w:r>
      <w:proofErr w:type="gramEnd"/>
      <w:r w:rsidRPr="004F3F03">
        <w:rPr>
          <w:color w:val="auto"/>
          <w:sz w:val="22"/>
          <w:szCs w:val="22"/>
        </w:rPr>
        <w:t xml:space="preserve"> předchozí Smlouva o spolupráci uzavřená mezi smluvními stranami dne </w:t>
      </w:r>
      <w:r w:rsidR="003A3326">
        <w:object w:dxaOrig="225" w:dyaOrig="225" w14:anchorId="6290FF6A">
          <v:shape id="_x0000_i1061" type="#_x0000_t75" style="width:61.5pt;height:18pt" o:ole="">
            <v:imagedata r:id="rId20" o:title=""/>
          </v:shape>
          <w:control r:id="rId21" w:name="TextBox82" w:shapeid="_x0000_i1061"/>
        </w:object>
      </w:r>
      <w:r w:rsidR="00BC17D6">
        <w:t>.</w:t>
      </w:r>
    </w:p>
    <w:p w14:paraId="118C355F" w14:textId="77777777" w:rsidR="004A6A15" w:rsidRPr="004F3F03" w:rsidRDefault="004A6A15" w:rsidP="004C1878">
      <w:pPr>
        <w:pStyle w:val="Default"/>
        <w:numPr>
          <w:ilvl w:val="0"/>
          <w:numId w:val="5"/>
        </w:numPr>
        <w:spacing w:after="120"/>
        <w:ind w:left="714" w:hanging="357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Tato smlouva je vyhotovena ve dvou výtiscích, každá strana </w:t>
      </w:r>
      <w:proofErr w:type="gramStart"/>
      <w:r w:rsidRPr="004F3F03">
        <w:rPr>
          <w:color w:val="auto"/>
          <w:sz w:val="22"/>
          <w:szCs w:val="22"/>
        </w:rPr>
        <w:t>obdrží</w:t>
      </w:r>
      <w:proofErr w:type="gramEnd"/>
      <w:r w:rsidRPr="004F3F03">
        <w:rPr>
          <w:color w:val="auto"/>
          <w:sz w:val="22"/>
          <w:szCs w:val="22"/>
        </w:rPr>
        <w:t xml:space="preserve"> jeden výtisk. </w:t>
      </w:r>
    </w:p>
    <w:p w14:paraId="4AE83868" w14:textId="77777777" w:rsidR="004A6A15" w:rsidRPr="004F3F03" w:rsidRDefault="004A6A15" w:rsidP="006B2529">
      <w:pPr>
        <w:pStyle w:val="Default"/>
        <w:numPr>
          <w:ilvl w:val="0"/>
          <w:numId w:val="5"/>
        </w:numPr>
        <w:spacing w:after="120"/>
        <w:ind w:left="714" w:hanging="357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Smluvní strany prohlašují, že si text smlouvy přečetly, s jejím obsahem bezvýhradně souhlasí a na důkaz toho připojují podpisy svých oprávněných zástupců. </w:t>
      </w:r>
    </w:p>
    <w:p w14:paraId="49C8BEC7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19ED61C8" w14:textId="70DA18F1" w:rsidR="004A6A15" w:rsidRPr="004F3F03" w:rsidRDefault="004A6A15" w:rsidP="00307829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 V</w:t>
      </w:r>
      <w:r w:rsidR="00E42ACA">
        <w:rPr>
          <w:color w:val="auto"/>
          <w:sz w:val="22"/>
          <w:szCs w:val="22"/>
        </w:rPr>
        <w:t> Brně</w:t>
      </w:r>
      <w:r w:rsidR="00E42ACA">
        <w:rPr>
          <w:color w:val="auto"/>
          <w:sz w:val="22"/>
          <w:szCs w:val="22"/>
        </w:rPr>
        <w:tab/>
      </w:r>
      <w:r w:rsidR="00F931D8">
        <w:rPr>
          <w:color w:val="auto"/>
          <w:sz w:val="22"/>
          <w:szCs w:val="22"/>
        </w:rPr>
        <w:t xml:space="preserve"> </w:t>
      </w:r>
      <w:proofErr w:type="gramStart"/>
      <w:r w:rsidR="00F931D8" w:rsidRPr="00F931D8">
        <w:rPr>
          <w:color w:val="auto"/>
          <w:sz w:val="22"/>
          <w:szCs w:val="22"/>
        </w:rPr>
        <w:t xml:space="preserve">dne  </w:t>
      </w:r>
      <w:r w:rsidR="00F931D8" w:rsidRPr="00F931D8">
        <w:rPr>
          <w:color w:val="auto"/>
          <w:sz w:val="22"/>
          <w:szCs w:val="22"/>
        </w:rPr>
        <w:tab/>
      </w:r>
      <w:proofErr w:type="gramEnd"/>
      <w:r w:rsidR="00F931D8" w:rsidRPr="00F931D8">
        <w:rPr>
          <w:color w:val="auto"/>
          <w:sz w:val="22"/>
          <w:szCs w:val="22"/>
        </w:rPr>
        <w:t>…………………….</w:t>
      </w:r>
      <w:r w:rsidR="00ED7B5B">
        <w:rPr>
          <w:color w:val="auto"/>
          <w:sz w:val="22"/>
          <w:szCs w:val="22"/>
        </w:rPr>
        <w:tab/>
      </w:r>
      <w:r w:rsidR="00ED7B5B">
        <w:rPr>
          <w:color w:val="auto"/>
          <w:sz w:val="22"/>
          <w:szCs w:val="22"/>
        </w:rPr>
        <w:tab/>
        <w:t xml:space="preserve">V </w:t>
      </w:r>
      <w:r w:rsidR="00ED7B5B">
        <w:object w:dxaOrig="225" w:dyaOrig="225" w14:anchorId="6FA360FE">
          <v:shape id="_x0000_i1063" type="#_x0000_t75" style="width:148.5pt;height:18pt" o:ole="">
            <v:imagedata r:id="rId22" o:title=""/>
          </v:shape>
          <w:control r:id="rId23" w:name="TextBox71" w:shapeid="_x0000_i1063"/>
        </w:object>
      </w:r>
      <w:r w:rsidRPr="004F3F03">
        <w:rPr>
          <w:color w:val="auto"/>
          <w:sz w:val="22"/>
          <w:szCs w:val="22"/>
        </w:rPr>
        <w:t xml:space="preserve"> </w:t>
      </w:r>
      <w:r w:rsidR="00ED7B5B" w:rsidRPr="004F3F03">
        <w:rPr>
          <w:color w:val="auto"/>
          <w:sz w:val="22"/>
          <w:szCs w:val="22"/>
        </w:rPr>
        <w:t>dne</w:t>
      </w:r>
      <w:r w:rsidR="00ED7B5B">
        <w:rPr>
          <w:color w:val="auto"/>
          <w:sz w:val="22"/>
          <w:szCs w:val="22"/>
        </w:rPr>
        <w:t xml:space="preserve"> </w:t>
      </w:r>
      <w:r w:rsidR="00ED7B5B">
        <w:object w:dxaOrig="225" w:dyaOrig="225" w14:anchorId="69CCE828">
          <v:shape id="_x0000_i1065" type="#_x0000_t75" style="width:61.5pt;height:18pt" o:ole="">
            <v:imagedata r:id="rId20" o:title=""/>
          </v:shape>
          <w:control r:id="rId24" w:name="TextBox81" w:shapeid="_x0000_i1065"/>
        </w:object>
      </w:r>
    </w:p>
    <w:p w14:paraId="42CCFAF7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00B22ACC" w14:textId="133B185D" w:rsidR="00CC3329" w:rsidRDefault="004A6A15" w:rsidP="00CC3329">
      <w:pPr>
        <w:pStyle w:val="Default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................................................... </w:t>
      </w:r>
      <w:r w:rsidRPr="004F3F03">
        <w:rPr>
          <w:color w:val="auto"/>
          <w:sz w:val="22"/>
          <w:szCs w:val="22"/>
        </w:rPr>
        <w:tab/>
      </w:r>
      <w:r w:rsidRPr="004F3F03">
        <w:rPr>
          <w:color w:val="auto"/>
          <w:sz w:val="22"/>
          <w:szCs w:val="22"/>
        </w:rPr>
        <w:tab/>
        <w:t xml:space="preserve"> .…....................................................</w:t>
      </w:r>
    </w:p>
    <w:p w14:paraId="30AA248C" w14:textId="57957B26" w:rsidR="004A6A15" w:rsidRPr="004F3F03" w:rsidRDefault="004A6A15" w:rsidP="00CC3329">
      <w:pPr>
        <w:pStyle w:val="Default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Ing. Daniel Jurečka, ředitel ÚKZÚZ                     </w:t>
      </w:r>
      <w:r w:rsidR="00CC3329">
        <w:rPr>
          <w:color w:val="auto"/>
          <w:sz w:val="22"/>
          <w:szCs w:val="22"/>
        </w:rPr>
        <w:t xml:space="preserve"> </w:t>
      </w:r>
      <w:r w:rsidR="00CC3329">
        <w:object w:dxaOrig="225" w:dyaOrig="225" w14:anchorId="5B0E36BD">
          <v:shape id="_x0000_i1067" type="#_x0000_t75" style="width:103.5pt;height:18pt" o:ole="">
            <v:imagedata r:id="rId17" o:title=""/>
          </v:shape>
          <w:control r:id="rId25" w:name="TextBox62" w:shapeid="_x0000_i1067"/>
        </w:object>
      </w:r>
      <w:r w:rsidR="00CC3329" w:rsidRPr="004F3F03">
        <w:rPr>
          <w:color w:val="auto"/>
          <w:sz w:val="22"/>
          <w:szCs w:val="22"/>
        </w:rPr>
        <w:t xml:space="preserve"> </w:t>
      </w:r>
      <w:r w:rsidR="004B52F2">
        <w:rPr>
          <w:color w:val="auto"/>
          <w:sz w:val="22"/>
          <w:szCs w:val="22"/>
        </w:rPr>
        <w:t>,</w:t>
      </w:r>
      <w:r w:rsidRPr="004F3F03">
        <w:rPr>
          <w:color w:val="auto"/>
          <w:sz w:val="22"/>
          <w:szCs w:val="22"/>
        </w:rPr>
        <w:t xml:space="preserve">statutární zástupce </w:t>
      </w:r>
    </w:p>
    <w:p w14:paraId="0A48E987" w14:textId="37CD88E1" w:rsidR="004A6A15" w:rsidRPr="004F3F03" w:rsidRDefault="004A6A15" w:rsidP="007D7835">
      <w:pPr>
        <w:pStyle w:val="Default"/>
        <w:ind w:left="2832" w:firstLine="708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t xml:space="preserve">                                            vzdělávacího zařízení</w:t>
      </w:r>
    </w:p>
    <w:p w14:paraId="2A338B47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p w14:paraId="1672F538" w14:textId="77777777" w:rsidR="005F11B5" w:rsidRDefault="005F11B5" w:rsidP="004A6A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14:paraId="53361153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  <w:r w:rsidRPr="004F3F03">
        <w:rPr>
          <w:color w:val="auto"/>
          <w:sz w:val="22"/>
          <w:szCs w:val="22"/>
        </w:rPr>
        <w:lastRenderedPageBreak/>
        <w:t xml:space="preserve">Příloha č. 1 Seznam oprávněných osob za vzdělávací zařízení s přístupem do </w:t>
      </w:r>
      <w:r w:rsidR="00534322">
        <w:rPr>
          <w:color w:val="auto"/>
          <w:sz w:val="22"/>
          <w:szCs w:val="22"/>
        </w:rPr>
        <w:t xml:space="preserve">IS </w:t>
      </w:r>
    </w:p>
    <w:p w14:paraId="5C438EE4" w14:textId="77777777" w:rsidR="004A6A15" w:rsidRPr="004F3F03" w:rsidRDefault="004A6A15" w:rsidP="004A6A15">
      <w:pPr>
        <w:pStyle w:val="Default"/>
        <w:rPr>
          <w:color w:val="auto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664"/>
        <w:gridCol w:w="1669"/>
        <w:gridCol w:w="1654"/>
        <w:gridCol w:w="1620"/>
        <w:gridCol w:w="1636"/>
      </w:tblGrid>
      <w:tr w:rsidR="00D357BF" w:rsidRPr="004F3F03" w14:paraId="6387E414" w14:textId="77777777" w:rsidTr="00890663">
        <w:trPr>
          <w:cantSplit/>
          <w:trHeight w:val="20"/>
        </w:trPr>
        <w:tc>
          <w:tcPr>
            <w:tcW w:w="1681" w:type="dxa"/>
            <w:shd w:val="clear" w:color="auto" w:fill="auto"/>
          </w:tcPr>
          <w:p w14:paraId="26CDB6B1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4F3F03">
              <w:rPr>
                <w:rFonts w:eastAsia="Times New Roman"/>
                <w:color w:val="auto"/>
                <w:sz w:val="22"/>
                <w:szCs w:val="22"/>
              </w:rPr>
              <w:t>Příjmení, jméno, titul</w:t>
            </w:r>
          </w:p>
          <w:p w14:paraId="3CE6736D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</w:tcPr>
          <w:p w14:paraId="6FE6EF3E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4F3F03">
              <w:rPr>
                <w:rFonts w:eastAsia="Times New Roman"/>
                <w:color w:val="auto"/>
                <w:sz w:val="22"/>
                <w:szCs w:val="22"/>
              </w:rPr>
              <w:t>Bydliště</w:t>
            </w:r>
          </w:p>
        </w:tc>
        <w:tc>
          <w:tcPr>
            <w:tcW w:w="1669" w:type="dxa"/>
            <w:shd w:val="clear" w:color="auto" w:fill="auto"/>
          </w:tcPr>
          <w:p w14:paraId="097504C7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4F3F03">
              <w:rPr>
                <w:rFonts w:eastAsia="Times New Roman"/>
                <w:color w:val="auto"/>
                <w:sz w:val="22"/>
                <w:szCs w:val="22"/>
              </w:rPr>
              <w:t>Datum narození</w:t>
            </w:r>
          </w:p>
        </w:tc>
        <w:tc>
          <w:tcPr>
            <w:tcW w:w="1654" w:type="dxa"/>
            <w:shd w:val="clear" w:color="auto" w:fill="auto"/>
          </w:tcPr>
          <w:p w14:paraId="69450575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4F3F03">
              <w:rPr>
                <w:rFonts w:eastAsia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620" w:type="dxa"/>
            <w:shd w:val="clear" w:color="auto" w:fill="auto"/>
          </w:tcPr>
          <w:p w14:paraId="17EF3811" w14:textId="0EC8162A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4F3F03">
              <w:rPr>
                <w:rFonts w:eastAsia="Times New Roman"/>
                <w:color w:val="auto"/>
                <w:sz w:val="22"/>
                <w:szCs w:val="22"/>
              </w:rPr>
              <w:t>E</w:t>
            </w:r>
            <w:r w:rsidR="00BC17D6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4F3F03">
              <w:rPr>
                <w:rFonts w:eastAsia="Times New Roman"/>
                <w:color w:val="auto"/>
                <w:sz w:val="22"/>
                <w:szCs w:val="22"/>
              </w:rPr>
              <w:t>mail</w:t>
            </w:r>
          </w:p>
        </w:tc>
        <w:tc>
          <w:tcPr>
            <w:tcW w:w="1636" w:type="dxa"/>
            <w:shd w:val="clear" w:color="auto" w:fill="auto"/>
          </w:tcPr>
          <w:p w14:paraId="4F46A07E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4F3F03">
              <w:rPr>
                <w:rFonts w:eastAsia="Times New Roman"/>
                <w:color w:val="auto"/>
                <w:sz w:val="22"/>
                <w:szCs w:val="22"/>
              </w:rPr>
              <w:t>Podpis</w:t>
            </w:r>
          </w:p>
        </w:tc>
      </w:tr>
      <w:tr w:rsidR="00D357BF" w:rsidRPr="004F3F03" w14:paraId="138A8735" w14:textId="77777777" w:rsidTr="00890663">
        <w:trPr>
          <w:cantSplit/>
          <w:trHeight w:val="1134"/>
        </w:trPr>
        <w:tc>
          <w:tcPr>
            <w:tcW w:w="1681" w:type="dxa"/>
            <w:shd w:val="clear" w:color="auto" w:fill="auto"/>
          </w:tcPr>
          <w:p w14:paraId="6F45B917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permStart w:id="66331036" w:edGrp="everyone" w:colFirst="0" w:colLast="0"/>
            <w:permStart w:id="394676352" w:edGrp="everyone" w:colFirst="1" w:colLast="1"/>
            <w:permStart w:id="1952716834" w:edGrp="everyone" w:colFirst="2" w:colLast="2"/>
            <w:permStart w:id="1995596892" w:edGrp="everyone" w:colFirst="3" w:colLast="3"/>
            <w:permStart w:id="381158730" w:edGrp="everyone" w:colFirst="4" w:colLast="4"/>
            <w:permStart w:id="331432140" w:edGrp="everyone" w:colFirst="5" w:colLast="5"/>
          </w:p>
        </w:tc>
        <w:tc>
          <w:tcPr>
            <w:tcW w:w="1664" w:type="dxa"/>
            <w:shd w:val="clear" w:color="auto" w:fill="auto"/>
          </w:tcPr>
          <w:p w14:paraId="60DAA1C9" w14:textId="77777777" w:rsidR="00890663" w:rsidRPr="00890663" w:rsidRDefault="00890663" w:rsidP="00A7401C">
            <w:pPr>
              <w:pStyle w:val="Default"/>
            </w:pPr>
          </w:p>
        </w:tc>
        <w:tc>
          <w:tcPr>
            <w:tcW w:w="1669" w:type="dxa"/>
            <w:shd w:val="clear" w:color="auto" w:fill="auto"/>
          </w:tcPr>
          <w:p w14:paraId="3E7D94BB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72BF954F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ACFED90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55D97C83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D357BF" w:rsidRPr="004F3F03" w14:paraId="27E934A9" w14:textId="77777777" w:rsidTr="00890663">
        <w:trPr>
          <w:cantSplit/>
          <w:trHeight w:val="1134"/>
        </w:trPr>
        <w:tc>
          <w:tcPr>
            <w:tcW w:w="1681" w:type="dxa"/>
            <w:shd w:val="clear" w:color="auto" w:fill="auto"/>
          </w:tcPr>
          <w:p w14:paraId="4471B905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permStart w:id="131036634" w:edGrp="everyone" w:colFirst="0" w:colLast="0"/>
            <w:permStart w:id="1707166430" w:edGrp="everyone" w:colFirst="1" w:colLast="1"/>
            <w:permStart w:id="522545519" w:edGrp="everyone" w:colFirst="2" w:colLast="2"/>
            <w:permStart w:id="823530905" w:edGrp="everyone" w:colFirst="3" w:colLast="3"/>
            <w:permStart w:id="2043501790" w:edGrp="everyone" w:colFirst="4" w:colLast="4"/>
            <w:permStart w:id="1606554073" w:edGrp="everyone" w:colFirst="5" w:colLast="5"/>
            <w:permEnd w:id="66331036"/>
            <w:permEnd w:id="394676352"/>
            <w:permEnd w:id="1952716834"/>
            <w:permEnd w:id="1995596892"/>
            <w:permEnd w:id="381158730"/>
            <w:permEnd w:id="331432140"/>
          </w:p>
        </w:tc>
        <w:tc>
          <w:tcPr>
            <w:tcW w:w="1664" w:type="dxa"/>
            <w:shd w:val="clear" w:color="auto" w:fill="auto"/>
          </w:tcPr>
          <w:p w14:paraId="59D3DA91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2F74E024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31C79B66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1A1551F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354B6186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D357BF" w:rsidRPr="004F3F03" w14:paraId="5E563D3B" w14:textId="77777777" w:rsidTr="00890663">
        <w:trPr>
          <w:cantSplit/>
          <w:trHeight w:val="1134"/>
        </w:trPr>
        <w:tc>
          <w:tcPr>
            <w:tcW w:w="1681" w:type="dxa"/>
            <w:shd w:val="clear" w:color="auto" w:fill="auto"/>
          </w:tcPr>
          <w:p w14:paraId="38960F36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permStart w:id="1446800926" w:edGrp="everyone" w:colFirst="0" w:colLast="0"/>
            <w:permStart w:id="1787103488" w:edGrp="everyone" w:colFirst="1" w:colLast="1"/>
            <w:permStart w:id="345718448" w:edGrp="everyone" w:colFirst="2" w:colLast="2"/>
            <w:permStart w:id="47919236" w:edGrp="everyone" w:colFirst="3" w:colLast="3"/>
            <w:permStart w:id="1803106857" w:edGrp="everyone" w:colFirst="4" w:colLast="4"/>
            <w:permStart w:id="561008662" w:edGrp="everyone" w:colFirst="5" w:colLast="5"/>
            <w:permEnd w:id="131036634"/>
            <w:permEnd w:id="1707166430"/>
            <w:permEnd w:id="522545519"/>
            <w:permEnd w:id="823530905"/>
            <w:permEnd w:id="2043501790"/>
            <w:permEnd w:id="1606554073"/>
          </w:p>
        </w:tc>
        <w:tc>
          <w:tcPr>
            <w:tcW w:w="1664" w:type="dxa"/>
            <w:shd w:val="clear" w:color="auto" w:fill="auto"/>
          </w:tcPr>
          <w:p w14:paraId="6FD25FF5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74B835EF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59F9FC72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6568D89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21809EBB" w14:textId="77777777" w:rsidR="004A6A15" w:rsidRPr="004F3F03" w:rsidRDefault="004A6A15" w:rsidP="00A7401C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permEnd w:id="1446800926"/>
      <w:permEnd w:id="1787103488"/>
      <w:permEnd w:id="345718448"/>
      <w:permEnd w:id="47919236"/>
      <w:permEnd w:id="1803106857"/>
      <w:permEnd w:id="561008662"/>
    </w:tbl>
    <w:p w14:paraId="2D77DD59" w14:textId="77777777" w:rsidR="00E34C82" w:rsidRDefault="00E34C82"/>
    <w:sectPr w:rsidR="00E3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F6CF" w14:textId="77777777" w:rsidR="00F16E05" w:rsidRDefault="00F16E05" w:rsidP="00BB5EAB">
      <w:pPr>
        <w:spacing w:after="0" w:line="240" w:lineRule="auto"/>
      </w:pPr>
      <w:r>
        <w:separator/>
      </w:r>
    </w:p>
  </w:endnote>
  <w:endnote w:type="continuationSeparator" w:id="0">
    <w:p w14:paraId="3384C90D" w14:textId="77777777" w:rsidR="00F16E05" w:rsidRDefault="00F16E05" w:rsidP="00BB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FF1E" w14:textId="77777777" w:rsidR="00F16E05" w:rsidRDefault="00F16E05" w:rsidP="00BB5EAB">
      <w:pPr>
        <w:spacing w:after="0" w:line="240" w:lineRule="auto"/>
      </w:pPr>
      <w:r>
        <w:separator/>
      </w:r>
    </w:p>
  </w:footnote>
  <w:footnote w:type="continuationSeparator" w:id="0">
    <w:p w14:paraId="10230DE7" w14:textId="77777777" w:rsidR="00F16E05" w:rsidRDefault="00F16E05" w:rsidP="00BB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8E7"/>
    <w:multiLevelType w:val="hybridMultilevel"/>
    <w:tmpl w:val="9A8EE81C"/>
    <w:lvl w:ilvl="0" w:tplc="741CD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26F4"/>
    <w:multiLevelType w:val="hybridMultilevel"/>
    <w:tmpl w:val="6E7C1AE0"/>
    <w:lvl w:ilvl="0" w:tplc="DFC2C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4103C"/>
    <w:multiLevelType w:val="hybridMultilevel"/>
    <w:tmpl w:val="95DA3650"/>
    <w:lvl w:ilvl="0" w:tplc="369C7C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B1214A"/>
    <w:multiLevelType w:val="hybridMultilevel"/>
    <w:tmpl w:val="616A9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381E"/>
    <w:multiLevelType w:val="hybridMultilevel"/>
    <w:tmpl w:val="1F74095E"/>
    <w:lvl w:ilvl="0" w:tplc="741CD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3599"/>
    <w:multiLevelType w:val="hybridMultilevel"/>
    <w:tmpl w:val="2C12355E"/>
    <w:lvl w:ilvl="0" w:tplc="2AC05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FC1412"/>
    <w:multiLevelType w:val="hybridMultilevel"/>
    <w:tmpl w:val="A4D06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418AF"/>
    <w:multiLevelType w:val="hybridMultilevel"/>
    <w:tmpl w:val="924E3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0123"/>
    <w:multiLevelType w:val="hybridMultilevel"/>
    <w:tmpl w:val="0B261EAA"/>
    <w:lvl w:ilvl="0" w:tplc="CFA8D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671">
    <w:abstractNumId w:val="8"/>
  </w:num>
  <w:num w:numId="2" w16cid:durableId="1358844930">
    <w:abstractNumId w:val="0"/>
  </w:num>
  <w:num w:numId="3" w16cid:durableId="905840136">
    <w:abstractNumId w:val="1"/>
  </w:num>
  <w:num w:numId="4" w16cid:durableId="1091196395">
    <w:abstractNumId w:val="4"/>
  </w:num>
  <w:num w:numId="5" w16cid:durableId="656883222">
    <w:abstractNumId w:val="7"/>
  </w:num>
  <w:num w:numId="6" w16cid:durableId="1429278446">
    <w:abstractNumId w:val="6"/>
  </w:num>
  <w:num w:numId="7" w16cid:durableId="88890433">
    <w:abstractNumId w:val="2"/>
  </w:num>
  <w:num w:numId="8" w16cid:durableId="1861704032">
    <w:abstractNumId w:val="5"/>
  </w:num>
  <w:num w:numId="9" w16cid:durableId="1404641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5"/>
    <w:rsid w:val="00031933"/>
    <w:rsid w:val="00036F5F"/>
    <w:rsid w:val="000853B0"/>
    <w:rsid w:val="000D2D6C"/>
    <w:rsid w:val="001135C8"/>
    <w:rsid w:val="00114F7B"/>
    <w:rsid w:val="0012533D"/>
    <w:rsid w:val="001773C6"/>
    <w:rsid w:val="00181A68"/>
    <w:rsid w:val="001B3A47"/>
    <w:rsid w:val="001B509C"/>
    <w:rsid w:val="001C1D6E"/>
    <w:rsid w:val="001C5627"/>
    <w:rsid w:val="001D0DA0"/>
    <w:rsid w:val="001F3C20"/>
    <w:rsid w:val="002074D4"/>
    <w:rsid w:val="002234D8"/>
    <w:rsid w:val="00230029"/>
    <w:rsid w:val="002760B1"/>
    <w:rsid w:val="00276E6A"/>
    <w:rsid w:val="002A1BBF"/>
    <w:rsid w:val="002A4DAB"/>
    <w:rsid w:val="002B57BE"/>
    <w:rsid w:val="002D18A5"/>
    <w:rsid w:val="002E7452"/>
    <w:rsid w:val="00307829"/>
    <w:rsid w:val="003201F8"/>
    <w:rsid w:val="00366431"/>
    <w:rsid w:val="00380472"/>
    <w:rsid w:val="00390E61"/>
    <w:rsid w:val="003915C4"/>
    <w:rsid w:val="00397689"/>
    <w:rsid w:val="003A12DF"/>
    <w:rsid w:val="003A3326"/>
    <w:rsid w:val="003E3CAA"/>
    <w:rsid w:val="004101CA"/>
    <w:rsid w:val="004141F3"/>
    <w:rsid w:val="00431A8B"/>
    <w:rsid w:val="004525D9"/>
    <w:rsid w:val="0049216D"/>
    <w:rsid w:val="004A199A"/>
    <w:rsid w:val="004A44CD"/>
    <w:rsid w:val="004A6A15"/>
    <w:rsid w:val="004B1A17"/>
    <w:rsid w:val="004B52F2"/>
    <w:rsid w:val="004C1878"/>
    <w:rsid w:val="004D74AB"/>
    <w:rsid w:val="00506102"/>
    <w:rsid w:val="00526F66"/>
    <w:rsid w:val="00534312"/>
    <w:rsid w:val="00534322"/>
    <w:rsid w:val="00541820"/>
    <w:rsid w:val="0057002F"/>
    <w:rsid w:val="005B2D77"/>
    <w:rsid w:val="005C4CCA"/>
    <w:rsid w:val="005F11B5"/>
    <w:rsid w:val="00651AE2"/>
    <w:rsid w:val="0068748C"/>
    <w:rsid w:val="006A7EC2"/>
    <w:rsid w:val="006B2529"/>
    <w:rsid w:val="006F2B8B"/>
    <w:rsid w:val="006F5C60"/>
    <w:rsid w:val="00713B4A"/>
    <w:rsid w:val="00716C00"/>
    <w:rsid w:val="00717D08"/>
    <w:rsid w:val="00722319"/>
    <w:rsid w:val="00732AE2"/>
    <w:rsid w:val="0074155E"/>
    <w:rsid w:val="00745118"/>
    <w:rsid w:val="00784C35"/>
    <w:rsid w:val="0078650E"/>
    <w:rsid w:val="00787C4E"/>
    <w:rsid w:val="007D7835"/>
    <w:rsid w:val="007E7D21"/>
    <w:rsid w:val="008059A2"/>
    <w:rsid w:val="00853390"/>
    <w:rsid w:val="00874A63"/>
    <w:rsid w:val="00890663"/>
    <w:rsid w:val="00893ED5"/>
    <w:rsid w:val="008F518B"/>
    <w:rsid w:val="00902CD0"/>
    <w:rsid w:val="0091197E"/>
    <w:rsid w:val="00921769"/>
    <w:rsid w:val="00942DFF"/>
    <w:rsid w:val="00943D92"/>
    <w:rsid w:val="00972E67"/>
    <w:rsid w:val="00986887"/>
    <w:rsid w:val="00993036"/>
    <w:rsid w:val="009E38D7"/>
    <w:rsid w:val="009E59F0"/>
    <w:rsid w:val="009E7833"/>
    <w:rsid w:val="00A07B7A"/>
    <w:rsid w:val="00A21A59"/>
    <w:rsid w:val="00A528ED"/>
    <w:rsid w:val="00A56550"/>
    <w:rsid w:val="00A7401C"/>
    <w:rsid w:val="00A772B1"/>
    <w:rsid w:val="00AD26D3"/>
    <w:rsid w:val="00AE152D"/>
    <w:rsid w:val="00AE5006"/>
    <w:rsid w:val="00B06E69"/>
    <w:rsid w:val="00B2504F"/>
    <w:rsid w:val="00B44F18"/>
    <w:rsid w:val="00B842D1"/>
    <w:rsid w:val="00BB09C2"/>
    <w:rsid w:val="00BB5EAB"/>
    <w:rsid w:val="00BC17D6"/>
    <w:rsid w:val="00C00A07"/>
    <w:rsid w:val="00C26933"/>
    <w:rsid w:val="00C71F8A"/>
    <w:rsid w:val="00C74729"/>
    <w:rsid w:val="00CC3329"/>
    <w:rsid w:val="00CC4114"/>
    <w:rsid w:val="00CC4F5F"/>
    <w:rsid w:val="00CD0368"/>
    <w:rsid w:val="00CD2025"/>
    <w:rsid w:val="00CE306A"/>
    <w:rsid w:val="00CF517F"/>
    <w:rsid w:val="00D1348C"/>
    <w:rsid w:val="00D14938"/>
    <w:rsid w:val="00D357BF"/>
    <w:rsid w:val="00D5343B"/>
    <w:rsid w:val="00D6312B"/>
    <w:rsid w:val="00D6708C"/>
    <w:rsid w:val="00D8134C"/>
    <w:rsid w:val="00D96BA3"/>
    <w:rsid w:val="00DB37F7"/>
    <w:rsid w:val="00DB4294"/>
    <w:rsid w:val="00DC023F"/>
    <w:rsid w:val="00DF3CE2"/>
    <w:rsid w:val="00E34C82"/>
    <w:rsid w:val="00E42ACA"/>
    <w:rsid w:val="00E46E90"/>
    <w:rsid w:val="00E87E16"/>
    <w:rsid w:val="00EA31BE"/>
    <w:rsid w:val="00ED7B5B"/>
    <w:rsid w:val="00EE3F18"/>
    <w:rsid w:val="00F16E05"/>
    <w:rsid w:val="00F2102A"/>
    <w:rsid w:val="00F3076B"/>
    <w:rsid w:val="00F931D8"/>
    <w:rsid w:val="00FB76C1"/>
    <w:rsid w:val="00FC3ECE"/>
    <w:rsid w:val="00FC461A"/>
    <w:rsid w:val="00FC6B0C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6403ED"/>
  <w15:docId w15:val="{B01EA203-FF0C-4BBC-94B7-93809A7D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A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6A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6A15"/>
    <w:pPr>
      <w:ind w:left="720"/>
      <w:contextualSpacing/>
    </w:pPr>
  </w:style>
  <w:style w:type="paragraph" w:customStyle="1" w:styleId="Default">
    <w:name w:val="Default"/>
    <w:rsid w:val="004A6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01C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34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3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32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3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322"/>
    <w:rPr>
      <w:rFonts w:ascii="Calibri" w:eastAsia="Calibri" w:hAnsi="Calibri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518B"/>
    <w:rPr>
      <w:color w:val="808080"/>
    </w:rPr>
  </w:style>
  <w:style w:type="table" w:styleId="Mkatabulky">
    <w:name w:val="Table Grid"/>
    <w:basedOn w:val="Normlntabulka"/>
    <w:uiPriority w:val="59"/>
    <w:rsid w:val="00D5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E74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hyperlink" Target="https://vpn.mze.cz/+CSCOU+/login/login2.ht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8B02-B2F5-40B5-A7FC-4A412A1B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1600</Words>
  <Characters>9443</Characters>
  <Application>Microsoft Office Word</Application>
  <DocSecurity>4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Blazkova</dc:creator>
  <cp:lastModifiedBy>Sedláková Markéta</cp:lastModifiedBy>
  <cp:revision>2</cp:revision>
  <cp:lastPrinted>2017-12-04T13:11:00Z</cp:lastPrinted>
  <dcterms:created xsi:type="dcterms:W3CDTF">2023-05-11T12:06:00Z</dcterms:created>
  <dcterms:modified xsi:type="dcterms:W3CDTF">2023-05-11T12:06:00Z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11004@ukzuz.cz</vt:lpwstr>
  </property>
  <property fmtid="{D5CDD505-2E9C-101B-9397-08002B2CF9AE}" pid="5" name="MSIP_Label_ddfdcfce-ddd9-46fd-a41e-890a4587f248_SetDate">
    <vt:lpwstr>2020-06-19T09:45:29.8298673Z</vt:lpwstr>
  </property>
  <property fmtid="{D5CDD505-2E9C-101B-9397-08002B2CF9AE}" pid="6" name="MSIP_Label_ddfdcfce-ddd9-46fd-a41e-890a4587f248_Name">
    <vt:lpwstr>Interní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2655f0da-4c7b-4b72-aa07-ec93031f5411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Interní</vt:lpwstr>
  </property>
</Properties>
</file>