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4"/>
        <w:gridCol w:w="892"/>
        <w:gridCol w:w="1020"/>
        <w:gridCol w:w="893"/>
        <w:gridCol w:w="1020"/>
        <w:gridCol w:w="892"/>
        <w:gridCol w:w="899"/>
        <w:gridCol w:w="899"/>
      </w:tblGrid>
      <w:tr w:rsidR="00120728" w:rsidTr="002C0FB7">
        <w:trPr>
          <w:trHeight w:val="354"/>
        </w:trPr>
        <w:tc>
          <w:tcPr>
            <w:tcW w:w="1027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DC6137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13178A">
              <w:rPr>
                <w:b/>
                <w:sz w:val="28"/>
              </w:rPr>
              <w:t xml:space="preserve">ní karta          </w:t>
            </w:r>
            <w:r>
              <w:rPr>
                <w:b/>
                <w:sz w:val="28"/>
              </w:rPr>
              <w:t xml:space="preserve"> </w:t>
            </w:r>
            <w:r w:rsidR="00DC6137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</w:t>
            </w:r>
            <w:r w:rsidR="00DC6137">
              <w:rPr>
                <w:b/>
                <w:sz w:val="28"/>
              </w:rPr>
              <w:t xml:space="preserve">LISTOPAD </w:t>
            </w:r>
            <w:r>
              <w:rPr>
                <w:b/>
                <w:sz w:val="28"/>
              </w:rPr>
              <w:t xml:space="preserve"> 2011           MLÉKO a mlékárenské výrobky</w:t>
            </w:r>
          </w:p>
        </w:tc>
      </w:tr>
      <w:tr w:rsidR="00120728" w:rsidTr="002C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79" w:type="dxa"/>
            <w:gridSpan w:val="8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7952AF" w:rsidRPr="009A018E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9A018E" w:rsidRDefault="007952AF" w:rsidP="009A018E">
            <w:r w:rsidRPr="009A018E">
              <w:t>Ukazatel/rok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7952A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007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120728" w:rsidP="007952A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7952AF">
              <w:rPr>
                <w:sz w:val="20"/>
              </w:rPr>
              <w:t>index</w:t>
            </w:r>
            <w:proofErr w:type="spellEnd"/>
            <w:r w:rsidR="007952AF">
              <w:rPr>
                <w:sz w:val="20"/>
              </w:rPr>
              <w:t xml:space="preserve"> 2010</w:t>
            </w:r>
            <w:r w:rsidR="007952AF" w:rsidRPr="00007195">
              <w:rPr>
                <w:sz w:val="20"/>
              </w:rPr>
              <w:t>/0</w:t>
            </w:r>
            <w:r w:rsidR="007952AF">
              <w:rPr>
                <w:sz w:val="20"/>
              </w:rPr>
              <w:t>9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proofErr w:type="spellStart"/>
            <w:r w:rsidRPr="007952AF">
              <w:rPr>
                <w:sz w:val="20"/>
              </w:rPr>
              <w:t>Prům</w:t>
            </w:r>
            <w:proofErr w:type="spellEnd"/>
            <w:r w:rsidRPr="007952AF">
              <w:rPr>
                <w:sz w:val="20"/>
              </w:rPr>
              <w:t>. stav dojnic v tis. ks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459,6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422,9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409,8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402,5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394,1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378,4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proofErr w:type="spellStart"/>
            <w:r w:rsidRPr="007952AF">
              <w:rPr>
                <w:sz w:val="20"/>
              </w:rPr>
              <w:t>Prům</w:t>
            </w:r>
            <w:proofErr w:type="spellEnd"/>
            <w:r w:rsidRPr="007952AF">
              <w:rPr>
                <w:sz w:val="20"/>
              </w:rPr>
              <w:t>. roční dojivost v    l/ks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5 756,2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6 370,4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6 548,3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6 776,2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6 869,9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6 903,8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Výroba mléka v mil. l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2 645,7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2 694,4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2 683,5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2 727,7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2 707,6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2 612,5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Tržní produkce. v mil. l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2 530,9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2 612,1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2 618,5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2 638,7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2 588,4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2 508,4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Tržnost v %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95,7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96,9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97,6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96,7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95,6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764" w:type="dxa"/>
          </w:tcPr>
          <w:p w:rsidR="007952AF" w:rsidRPr="007952AF" w:rsidRDefault="007952AF" w:rsidP="009A018E">
            <w:pPr>
              <w:rPr>
                <w:b/>
                <w:sz w:val="20"/>
              </w:rPr>
            </w:pPr>
            <w:r w:rsidRPr="007952AF">
              <w:rPr>
                <w:b/>
                <w:sz w:val="20"/>
              </w:rPr>
              <w:t>Bilance</w:t>
            </w:r>
          </w:p>
        </w:tc>
        <w:tc>
          <w:tcPr>
            <w:tcW w:w="892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1020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3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1020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2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9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9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Počáteční zásoby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132,6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66,3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 55,7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 71,1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97,7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Nákup do mlékáren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2 530,9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2 329,7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2 381,2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2 368,6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2 291,7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2 251,4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Dovoz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 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281,4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701,3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836,0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810,2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853,7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848,8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Celková nabídka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2 944,9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3 097,3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3 272,9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3 249,9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3 243,1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3 160,1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Domácí tržní spotřeba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2 080,5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2 190,7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2 244,0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2 214,6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2 233,2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2 197,0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Vývoz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  mil. l 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772,3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850,9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957,8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937,6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909,7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902,4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Konečné zásoby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92,1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55,7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 71,1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97,7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59,9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Intervenční nákup SOM, másla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40,3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899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Podíl dovozu na spotřebě            v %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13,5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32,0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37,3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36,6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38,2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Podíl vývozu na nákupu              v %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30,5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36,5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40,2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39,6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39,7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Pr="009E7303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93"/>
      </w:tblGrid>
      <w:tr w:rsidR="000B309D" w:rsidRPr="00B43AF0" w:rsidTr="0088599E">
        <w:trPr>
          <w:trHeight w:val="361"/>
        </w:trPr>
        <w:tc>
          <w:tcPr>
            <w:tcW w:w="10423" w:type="dxa"/>
            <w:gridSpan w:val="13"/>
            <w:shd w:val="clear" w:color="auto" w:fill="B8CCE4"/>
          </w:tcPr>
          <w:p w:rsidR="000B309D" w:rsidRPr="00B43AF0" w:rsidRDefault="000B309D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>Domácí spotřeba v kg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top w:val="double" w:sz="4" w:space="0" w:color="auto"/>
              <w:right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0B309D" w:rsidRPr="00120728" w:rsidRDefault="000B309D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40"/>
        </w:trPr>
        <w:tc>
          <w:tcPr>
            <w:tcW w:w="2591" w:type="dxa"/>
            <w:tcBorders>
              <w:top w:val="nil"/>
              <w:right w:val="double" w:sz="4" w:space="0" w:color="auto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1. Mléko a mléčné výrobky v hodnotě mléka (bez másla)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259,6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197,1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215,1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220,6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223,4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230,0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238,3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239,4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244,5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242,7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249,7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243,9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right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49" w:type="dxa"/>
            <w:tcBorders>
              <w:left w:val="nil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93" w:type="dxa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2. Máslo</w:t>
            </w:r>
          </w:p>
        </w:tc>
        <w:tc>
          <w:tcPr>
            <w:tcW w:w="649" w:type="dxa"/>
            <w:tcBorders>
              <w:left w:val="nil"/>
            </w:tcBorders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93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z toho podle výrobků:</w:t>
            </w: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03"/>
        </w:trPr>
        <w:tc>
          <w:tcPr>
            <w:tcW w:w="2591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843E2A">
            <w:pPr>
              <w:rPr>
                <w:sz w:val="20"/>
              </w:rPr>
            </w:pPr>
            <w:r>
              <w:rPr>
                <w:sz w:val="20"/>
              </w:rPr>
              <w:t>57,</w:t>
            </w:r>
            <w:r w:rsidR="00843E2A">
              <w:rPr>
                <w:sz w:val="20"/>
              </w:rPr>
              <w:t>7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843E2A">
            <w:pPr>
              <w:rPr>
                <w:sz w:val="20"/>
              </w:rPr>
            </w:pPr>
            <w:r>
              <w:rPr>
                <w:sz w:val="20"/>
              </w:rPr>
              <w:t>3,</w:t>
            </w:r>
            <w:r w:rsidR="00843E2A">
              <w:rPr>
                <w:sz w:val="20"/>
              </w:rPr>
              <w:t>4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Ostatní mléčné výrobky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27,5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21,6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26,2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28,6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29,4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29,8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30,0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31,7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32,3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32,7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Pr="009E7303" w:rsidRDefault="00D70536" w:rsidP="000B309D">
      <w:pPr>
        <w:rPr>
          <w:i/>
          <w:sz w:val="16"/>
          <w:szCs w:val="16"/>
        </w:rPr>
      </w:pPr>
    </w:p>
    <w:p w:rsidR="000C0488" w:rsidRDefault="00103784" w:rsidP="000B309D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433090" cy="3131959"/>
            <wp:effectExtent l="13122" t="4941" r="7928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303" w:rsidRDefault="009E7303" w:rsidP="000B309D">
      <w:pPr>
        <w:rPr>
          <w:i/>
          <w:sz w:val="18"/>
          <w:szCs w:val="18"/>
        </w:rPr>
      </w:pPr>
    </w:p>
    <w:p w:rsidR="000B309D" w:rsidRPr="00B85074" w:rsidRDefault="0070439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6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8"/>
        <w:gridCol w:w="1182"/>
        <w:gridCol w:w="977"/>
        <w:gridCol w:w="1256"/>
        <w:gridCol w:w="1116"/>
        <w:gridCol w:w="837"/>
        <w:gridCol w:w="1257"/>
        <w:gridCol w:w="896"/>
        <w:gridCol w:w="837"/>
        <w:gridCol w:w="1256"/>
      </w:tblGrid>
      <w:tr w:rsidR="000B309D" w:rsidRPr="005A0163" w:rsidTr="009574AB">
        <w:trPr>
          <w:trHeight w:val="234"/>
        </w:trPr>
        <w:tc>
          <w:tcPr>
            <w:tcW w:w="1018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2010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2011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10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9574AB">
        <w:trPr>
          <w:trHeight w:val="260"/>
        </w:trPr>
        <w:tc>
          <w:tcPr>
            <w:tcW w:w="1018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7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5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11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83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5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9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83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5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Leden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214 001 291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443 542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214 444 833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212 946 191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542 2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6712F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213 488 48</w:t>
            </w:r>
            <w:r w:rsidR="0096712F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+ 22,3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- 0,4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Únor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195 822 795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557 376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196 380 171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196 768 232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553 486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197 321 718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- 0,7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+ 0,5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Březen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221 653 604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689 307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222 342 911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222 859 103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635 628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223 494 731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- 7,8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+0,5</w:t>
            </w:r>
          </w:p>
        </w:tc>
      </w:tr>
      <w:tr w:rsidR="009574AB" w:rsidRPr="00B85074" w:rsidTr="002D4C36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Duben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220 007 000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630 733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220 637 733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220 259 308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r w:rsidR="0006023F">
              <w:rPr>
                <w:sz w:val="16"/>
                <w:szCs w:val="16"/>
              </w:rPr>
              <w:t>576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220 891 </w:t>
            </w:r>
            <w:r w:rsidR="0006023F">
              <w:rPr>
                <w:sz w:val="16"/>
                <w:szCs w:val="16"/>
              </w:rPr>
              <w:t>884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</w:t>
            </w:r>
            <w:r w:rsidR="0006023F"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+ 0,1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Květen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229 803 134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606 844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230 409 978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229 597 4</w:t>
            </w:r>
            <w:r w:rsidR="0096712F">
              <w:rPr>
                <w:sz w:val="16"/>
                <w:szCs w:val="16"/>
              </w:rPr>
              <w:t>45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623 </w:t>
            </w:r>
            <w:r w:rsidR="0096712F">
              <w:rPr>
                <w:sz w:val="16"/>
                <w:szCs w:val="16"/>
              </w:rPr>
              <w:t>947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230 221 </w:t>
            </w:r>
            <w:r w:rsidR="0096712F">
              <w:rPr>
                <w:sz w:val="16"/>
                <w:szCs w:val="16"/>
              </w:rPr>
              <w:t>392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- 0,1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220 855 296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580 574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221 435 870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222 556 641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592 631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223 149 272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+ 0,8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Červenec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223 388 384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570 506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223 958 890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75281D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230 954 39</w:t>
            </w:r>
            <w:r w:rsidR="0006023F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546 464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75281D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231 500 85</w:t>
            </w:r>
            <w:r w:rsidR="0006023F"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+ 3,4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Srpen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220 385 829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579 269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220 965 098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224 279 064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567 405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224 846 469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+ 1,8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Září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208 070 917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569 756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208 640 673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213 821 231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567 817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214 389 048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+ 2,8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Říjen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FC35E4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207 692 </w:t>
            </w:r>
            <w:r w:rsidR="00FC35E4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608 800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6712F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208 301 </w:t>
            </w:r>
            <w:r w:rsidR="0096712F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214 947 292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580 726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215 528 018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+ 3,5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Listopad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199 759 167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571 941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200 331 108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Prosinec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207 051 819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477 178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207 528 997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9574AB" w:rsidRPr="00B85074" w:rsidTr="009574AB">
        <w:trPr>
          <w:trHeight w:val="233"/>
        </w:trPr>
        <w:tc>
          <w:tcPr>
            <w:tcW w:w="1018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6035E9">
              <w:rPr>
                <w:b/>
                <w:spacing w:val="208"/>
                <w:sz w:val="16"/>
                <w:szCs w:val="16"/>
              </w:rPr>
              <w:t>RO</w:t>
            </w:r>
            <w:r w:rsidRPr="006035E9">
              <w:rPr>
                <w:b/>
                <w:spacing w:val="2"/>
                <w:sz w:val="16"/>
                <w:szCs w:val="16"/>
              </w:rPr>
              <w:t>K</w:t>
            </w:r>
          </w:p>
        </w:tc>
        <w:tc>
          <w:tcPr>
            <w:tcW w:w="1182" w:type="dxa"/>
            <w:shd w:val="clear" w:color="auto" w:fill="B8CCE4"/>
            <w:noWrap/>
            <w:vAlign w:val="center"/>
          </w:tcPr>
          <w:p w:rsidR="009574AB" w:rsidRPr="009574AB" w:rsidRDefault="009574AB" w:rsidP="00672F03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2 568 491 </w:t>
            </w:r>
            <w:r w:rsidR="00672F03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977" w:type="dxa"/>
            <w:shd w:val="clear" w:color="auto" w:fill="B8CCE4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6 885 826</w:t>
            </w:r>
          </w:p>
        </w:tc>
        <w:tc>
          <w:tcPr>
            <w:tcW w:w="1256" w:type="dxa"/>
            <w:shd w:val="clear" w:color="auto" w:fill="B8CCE4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2 575 377 781</w:t>
            </w:r>
          </w:p>
        </w:tc>
        <w:tc>
          <w:tcPr>
            <w:tcW w:w="1116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2001 – předběžný údaj</w:t>
      </w:r>
    </w:p>
    <w:p w:rsidR="00E32833" w:rsidRPr="0006023F" w:rsidRDefault="0006023F" w:rsidP="000B309D">
      <w:pPr>
        <w:rPr>
          <w:b/>
          <w:i/>
          <w:sz w:val="16"/>
          <w:szCs w:val="16"/>
        </w:rPr>
      </w:pPr>
      <w:r w:rsidRPr="0006023F">
        <w:rPr>
          <w:b/>
          <w:i/>
          <w:sz w:val="16"/>
          <w:szCs w:val="16"/>
        </w:rPr>
        <w:t xml:space="preserve">Za </w:t>
      </w:r>
      <w:r w:rsidR="0047597F">
        <w:rPr>
          <w:b/>
          <w:i/>
          <w:sz w:val="16"/>
          <w:szCs w:val="16"/>
        </w:rPr>
        <w:t>10</w:t>
      </w:r>
      <w:r w:rsidRPr="0006023F">
        <w:rPr>
          <w:b/>
          <w:i/>
          <w:sz w:val="16"/>
          <w:szCs w:val="16"/>
        </w:rPr>
        <w:t xml:space="preserve"> měsíců r. 2011 dodávky a přímý prodej mléka představovaly objem </w:t>
      </w:r>
      <w:r w:rsidR="00B4000A">
        <w:rPr>
          <w:b/>
          <w:i/>
          <w:sz w:val="16"/>
          <w:szCs w:val="16"/>
        </w:rPr>
        <w:t>2 194 831 869</w:t>
      </w:r>
      <w:r w:rsidRPr="0006023F">
        <w:rPr>
          <w:b/>
          <w:i/>
          <w:sz w:val="16"/>
          <w:szCs w:val="16"/>
        </w:rPr>
        <w:t xml:space="preserve"> kg, tj. o </w:t>
      </w:r>
      <w:r w:rsidR="00301D61">
        <w:rPr>
          <w:b/>
          <w:i/>
          <w:sz w:val="16"/>
          <w:szCs w:val="16"/>
        </w:rPr>
        <w:t>1,</w:t>
      </w:r>
      <w:r w:rsidR="00B4000A">
        <w:rPr>
          <w:b/>
          <w:i/>
          <w:sz w:val="16"/>
          <w:szCs w:val="16"/>
        </w:rPr>
        <w:t>26</w:t>
      </w:r>
      <w:r w:rsidRPr="0006023F">
        <w:rPr>
          <w:b/>
          <w:i/>
          <w:sz w:val="16"/>
          <w:szCs w:val="16"/>
        </w:rPr>
        <w:t xml:space="preserve"> % více než za stejné období r. 2010</w:t>
      </w: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tbl>
      <w:tblPr>
        <w:tblpPr w:leftFromText="141" w:rightFromText="141" w:vertAnchor="page" w:horzAnchor="margin" w:tblpY="5811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854"/>
        <w:gridCol w:w="1316"/>
        <w:gridCol w:w="1396"/>
        <w:gridCol w:w="1705"/>
        <w:gridCol w:w="2130"/>
      </w:tblGrid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2010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2011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2011/2010</w:t>
            </w:r>
          </w:p>
        </w:tc>
      </w:tr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F671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 xml:space="preserve">01 - </w:t>
            </w:r>
            <w:r w:rsidR="00F671EF">
              <w:rPr>
                <w:b/>
                <w:sz w:val="20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F671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 xml:space="preserve">01 - </w:t>
            </w:r>
            <w:r w:rsidR="00F671EF">
              <w:rPr>
                <w:b/>
                <w:sz w:val="20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732A66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1 892 307,0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1 925 598,0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33 291,0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101,8</w:t>
            </w:r>
          </w:p>
        </w:tc>
      </w:tr>
      <w:tr w:rsidR="00732A66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1 843 377,0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1 863 383,0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20 006,0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</w:t>
            </w:r>
          </w:p>
        </w:tc>
      </w:tr>
      <w:tr w:rsidR="00732A66" w:rsidRPr="00F017D7" w:rsidTr="00682355">
        <w:trPr>
          <w:trHeight w:val="212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102 724,0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142 705,0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39 981,0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138,9</w:t>
            </w:r>
          </w:p>
        </w:tc>
      </w:tr>
      <w:tr w:rsidR="00732A66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- 0,01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</w:tr>
      <w:tr w:rsidR="00732A66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- 0,01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</w:tr>
      <w:tr w:rsidR="00732A66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7,32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8,24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112,6</w:t>
            </w:r>
          </w:p>
        </w:tc>
      </w:tr>
      <w:tr w:rsidR="00732A66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7,35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8,27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112,5</w:t>
            </w:r>
          </w:p>
        </w:tc>
      </w:tr>
      <w:tr w:rsidR="00732A66" w:rsidRPr="00F017D7" w:rsidTr="00682355">
        <w:trPr>
          <w:trHeight w:val="256"/>
        </w:trPr>
        <w:tc>
          <w:tcPr>
            <w:tcW w:w="10578" w:type="dxa"/>
            <w:gridSpan w:val="6"/>
            <w:shd w:val="clear" w:color="auto" w:fill="auto"/>
          </w:tcPr>
          <w:p w:rsidR="00732A66" w:rsidRPr="00F017D7" w:rsidRDefault="00732A66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732A66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F017D7" w:rsidRDefault="00732A66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shd w:val="clear" w:color="auto" w:fill="FDE9D9"/>
          </w:tcPr>
          <w:p w:rsidR="00732A66" w:rsidRPr="00F017D7" w:rsidRDefault="00732A66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513 052,8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518 096,4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5 043,6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</w:t>
            </w:r>
          </w:p>
        </w:tc>
      </w:tr>
      <w:tr w:rsidR="00732A66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shd w:val="clear" w:color="auto" w:fill="auto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85 693,3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81 010,7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-4 682,6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94,5</w:t>
            </w:r>
          </w:p>
        </w:tc>
      </w:tr>
      <w:tr w:rsidR="00732A66" w:rsidRPr="00F017D7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732A66" w:rsidRPr="00F017D7" w:rsidRDefault="00732A66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shd w:val="clear" w:color="auto" w:fill="auto"/>
          </w:tcPr>
          <w:p w:rsidR="00732A66" w:rsidRPr="00F017D7" w:rsidRDefault="00732A66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425 593,2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435 719,1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10 125,9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102,4</w:t>
            </w:r>
          </w:p>
        </w:tc>
      </w:tr>
      <w:tr w:rsidR="00732A66" w:rsidRPr="00CF7A31" w:rsidTr="006822A0">
        <w:trPr>
          <w:trHeight w:val="256"/>
        </w:trPr>
        <w:tc>
          <w:tcPr>
            <w:tcW w:w="3177" w:type="dxa"/>
            <w:shd w:val="clear" w:color="auto" w:fill="auto"/>
          </w:tcPr>
          <w:p w:rsidR="00732A66" w:rsidRPr="006822A0" w:rsidRDefault="00732A66" w:rsidP="00682355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shd w:val="clear" w:color="auto" w:fill="auto"/>
          </w:tcPr>
          <w:p w:rsidR="00732A66" w:rsidRPr="006822A0" w:rsidRDefault="00732A66" w:rsidP="00682355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1 766,3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1 366,6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-399,7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77,4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42 134,1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39 569,2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-2 564,9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93,9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CF7A31">
              <w:rPr>
                <w:sz w:val="20"/>
              </w:rPr>
              <w:t>- kysané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14 752,9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14 193,4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-559,5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96,2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-- smetany s </w:t>
            </w:r>
            <w:proofErr w:type="spellStart"/>
            <w:r w:rsidRPr="00CF7A31">
              <w:rPr>
                <w:sz w:val="20"/>
              </w:rPr>
              <w:t>obs</w:t>
            </w:r>
            <w:proofErr w:type="spellEnd"/>
            <w:r w:rsidRPr="00CF7A31">
              <w:rPr>
                <w:sz w:val="20"/>
              </w:rPr>
              <w:t xml:space="preserve">. tuku </w:t>
            </w:r>
            <w:proofErr w:type="spellStart"/>
            <w:r w:rsidRPr="00CF7A31">
              <w:rPr>
                <w:sz w:val="20"/>
              </w:rPr>
              <w:t>nejm</w:t>
            </w:r>
            <w:proofErr w:type="spellEnd"/>
            <w:r w:rsidRPr="00CF7A31">
              <w:rPr>
                <w:sz w:val="20"/>
              </w:rPr>
              <w:t>. 30 %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17 412,6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15 549,8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-1 862,8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89,3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119 928,5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113 232,9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-6 695,6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94,4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49 708,9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48 605,0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-1 103,9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97,8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22 349,8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21 157,6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-1 192,2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27 359,1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27 447,4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88,3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100,3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33 556,0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31 864,0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-1 692,0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95,0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25 382,6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26 208,5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825,9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103,3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79 463,4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78 417,6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-1 045,8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66 801,3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66 724,3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-77,0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12 662,1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11 693,3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-968,8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92,3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10 386,7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10 450,3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63,6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100,6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2 773,3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3 263,0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489,7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117,7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8 735,0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8 666,6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-68,4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CF7A31" w:rsidRDefault="00732A66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shd w:val="clear" w:color="auto" w:fill="FDE9D9"/>
          </w:tcPr>
          <w:p w:rsidR="00732A66" w:rsidRPr="00CF7A31" w:rsidRDefault="00732A66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23 029,1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24 190,3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1 161,2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105,0</w:t>
            </w:r>
          </w:p>
        </w:tc>
      </w:tr>
      <w:tr w:rsidR="00732A66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odstředěné mléko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13 092,9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11 727,8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-1 365,1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89,6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732A66" w:rsidRPr="00CF7A31" w:rsidRDefault="00732A66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shd w:val="clear" w:color="auto" w:fill="auto"/>
          </w:tcPr>
          <w:p w:rsidR="00732A66" w:rsidRPr="00CF7A31" w:rsidRDefault="00732A66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9 936,2</w:t>
            </w:r>
          </w:p>
        </w:tc>
        <w:tc>
          <w:tcPr>
            <w:tcW w:w="1396" w:type="dxa"/>
            <w:shd w:val="clear" w:color="auto" w:fill="auto"/>
          </w:tcPr>
          <w:p w:rsidR="00732A66" w:rsidRDefault="00732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12 462,5</w:t>
            </w:r>
          </w:p>
        </w:tc>
        <w:tc>
          <w:tcPr>
            <w:tcW w:w="1705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2 526,3</w:t>
            </w:r>
          </w:p>
        </w:tc>
        <w:tc>
          <w:tcPr>
            <w:tcW w:w="2130" w:type="dxa"/>
            <w:shd w:val="clear" w:color="auto" w:fill="auto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125,4</w:t>
            </w:r>
          </w:p>
        </w:tc>
      </w:tr>
      <w:tr w:rsidR="00732A66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732A66" w:rsidRPr="003F4FB3" w:rsidRDefault="00732A66" w:rsidP="00682355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shd w:val="clear" w:color="auto" w:fill="FDE9D9"/>
          </w:tcPr>
          <w:p w:rsidR="00732A66" w:rsidRPr="003F4FB3" w:rsidRDefault="00732A66" w:rsidP="00682355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11 574,8</w:t>
            </w:r>
          </w:p>
        </w:tc>
        <w:tc>
          <w:tcPr>
            <w:tcW w:w="1396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11 009,7</w:t>
            </w:r>
          </w:p>
        </w:tc>
        <w:tc>
          <w:tcPr>
            <w:tcW w:w="1705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-565,1</w:t>
            </w:r>
          </w:p>
        </w:tc>
        <w:tc>
          <w:tcPr>
            <w:tcW w:w="2130" w:type="dxa"/>
            <w:shd w:val="clear" w:color="auto" w:fill="FDE9D9"/>
          </w:tcPr>
          <w:p w:rsidR="00732A66" w:rsidRDefault="00732A6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9574AB" w:rsidRDefault="009574AB" w:rsidP="000C0488">
      <w:pPr>
        <w:rPr>
          <w:b/>
          <w:sz w:val="20"/>
        </w:rPr>
      </w:pP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"/>
        <w:gridCol w:w="807"/>
        <w:gridCol w:w="807"/>
        <w:gridCol w:w="807"/>
        <w:gridCol w:w="807"/>
        <w:gridCol w:w="808"/>
        <w:gridCol w:w="808"/>
        <w:gridCol w:w="808"/>
        <w:gridCol w:w="808"/>
        <w:gridCol w:w="808"/>
        <w:gridCol w:w="808"/>
        <w:gridCol w:w="739"/>
        <w:gridCol w:w="808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4 218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2 944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2 261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2 231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2 043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1 220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 xml:space="preserve">  892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 xml:space="preserve">  775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1 332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4 526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4 420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4 304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4 182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4 105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3 937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2 090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1 947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2 057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2 049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1 762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1 446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1 180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227"/>
      </w:tblGrid>
      <w:tr w:rsidR="00CD7824" w:rsidRPr="00B43AF0" w:rsidTr="0088599E">
        <w:trPr>
          <w:trHeight w:val="255"/>
        </w:trPr>
        <w:tc>
          <w:tcPr>
            <w:tcW w:w="10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I. tř. </w:t>
      </w:r>
      <w:proofErr w:type="spellStart"/>
      <w:r w:rsidRPr="00B43AF0">
        <w:rPr>
          <w:b/>
        </w:rPr>
        <w:t>j</w:t>
      </w:r>
      <w:proofErr w:type="spellEnd"/>
      <w:r w:rsidRPr="00B43AF0">
        <w:rPr>
          <w:b/>
        </w:rPr>
        <w:t>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283"/>
        <w:gridCol w:w="903"/>
        <w:gridCol w:w="897"/>
        <w:gridCol w:w="903"/>
        <w:gridCol w:w="1158"/>
        <w:gridCol w:w="1462"/>
      </w:tblGrid>
      <w:tr w:rsidR="00CD7824" w:rsidRPr="009A018E" w:rsidTr="00C03B3A">
        <w:trPr>
          <w:trHeight w:val="250"/>
        </w:trPr>
        <w:tc>
          <w:tcPr>
            <w:tcW w:w="3708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FB415F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0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F12F31" w:rsidRDefault="00FB415F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CD7824" w:rsidRPr="00374857" w:rsidRDefault="00CD7824" w:rsidP="00F12F31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2620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C03B3A">
        <w:trPr>
          <w:trHeight w:val="169"/>
        </w:trPr>
        <w:tc>
          <w:tcPr>
            <w:tcW w:w="3708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03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7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3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8" w:type="dxa"/>
            <w:shd w:val="clear" w:color="auto" w:fill="B8CCE4"/>
          </w:tcPr>
          <w:p w:rsidR="00CD7824" w:rsidRPr="00374857" w:rsidRDefault="00FB415F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462" w:type="dxa"/>
            <w:shd w:val="clear" w:color="auto" w:fill="B8CCE4"/>
          </w:tcPr>
          <w:p w:rsidR="00CD7824" w:rsidRPr="00374857" w:rsidRDefault="00FB415F" w:rsidP="003C72D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Září</w:t>
            </w:r>
            <w:r w:rsidR="00682355">
              <w:rPr>
                <w:b/>
                <w:sz w:val="20"/>
                <w:szCs w:val="18"/>
              </w:rPr>
              <w:t xml:space="preserve">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  <w:r w:rsidR="00CD7824" w:rsidRPr="00374857">
              <w:rPr>
                <w:b/>
                <w:sz w:val="20"/>
                <w:szCs w:val="18"/>
              </w:rPr>
              <w:t xml:space="preserve"> /leden 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CD7824" w:rsidRPr="009A018E" w:rsidTr="0088599E">
        <w:trPr>
          <w:trHeight w:val="229"/>
        </w:trPr>
        <w:tc>
          <w:tcPr>
            <w:tcW w:w="3708" w:type="dxa"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7,78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8,10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8,35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+ 7,3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+ 3,1</w:t>
            </w:r>
          </w:p>
        </w:tc>
      </w:tr>
      <w:tr w:rsidR="00CD7824" w:rsidRPr="009A018E" w:rsidTr="00374857">
        <w:trPr>
          <w:trHeight w:val="247"/>
        </w:trPr>
        <w:tc>
          <w:tcPr>
            <w:tcW w:w="10314" w:type="dxa"/>
            <w:gridSpan w:val="7"/>
          </w:tcPr>
          <w:p w:rsidR="00CD7824" w:rsidRPr="00C03B3A" w:rsidRDefault="00CD7824" w:rsidP="009A018E">
            <w:pPr>
              <w:rPr>
                <w:b/>
                <w:sz w:val="20"/>
                <w:szCs w:val="22"/>
              </w:rPr>
            </w:pPr>
          </w:p>
        </w:tc>
      </w:tr>
      <w:tr w:rsidR="00CD7824" w:rsidRPr="009A018E" w:rsidTr="0088599E">
        <w:trPr>
          <w:trHeight w:val="229"/>
        </w:trPr>
        <w:tc>
          <w:tcPr>
            <w:tcW w:w="3708" w:type="dxa"/>
            <w:vMerge w:val="restart"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10,25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10,29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10,15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- 1,0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- 1,4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15,21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15,60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16,03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+ 5,4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+ 2,8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+ 48,4</w:t>
            </w:r>
          </w:p>
        </w:tc>
        <w:tc>
          <w:tcPr>
            <w:tcW w:w="897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+ 51,6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+ 57,9</w:t>
            </w:r>
          </w:p>
        </w:tc>
        <w:tc>
          <w:tcPr>
            <w:tcW w:w="1158" w:type="dxa"/>
            <w:shd w:val="clear" w:color="auto" w:fill="B8CCE4"/>
          </w:tcPr>
          <w:p w:rsidR="00CD7824" w:rsidRPr="00C03B3A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462" w:type="dxa"/>
            <w:shd w:val="clear" w:color="auto" w:fill="B8CCE4"/>
          </w:tcPr>
          <w:p w:rsidR="00CD7824" w:rsidRPr="00374857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CD7824" w:rsidRPr="009A018E" w:rsidTr="0088599E">
        <w:trPr>
          <w:trHeight w:val="247"/>
        </w:trPr>
        <w:tc>
          <w:tcPr>
            <w:tcW w:w="3708" w:type="dxa"/>
            <w:vMerge w:val="restart"/>
            <w:shd w:val="clear" w:color="auto" w:fill="FBD4B4"/>
          </w:tcPr>
          <w:p w:rsidR="00CD7824" w:rsidRPr="00374857" w:rsidRDefault="00605AC3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="00CD7824"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="00CD7824"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10,72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10,83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11,52</w:t>
            </w:r>
          </w:p>
        </w:tc>
        <w:tc>
          <w:tcPr>
            <w:tcW w:w="1158" w:type="dxa"/>
            <w:shd w:val="clear" w:color="auto" w:fill="FBD4B4"/>
          </w:tcPr>
          <w:p w:rsidR="0098477D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+ 7,5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+ 6,4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16,81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16,67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17,82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+ 6,0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+ 6,9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+ 56,8</w:t>
            </w:r>
          </w:p>
        </w:tc>
        <w:tc>
          <w:tcPr>
            <w:tcW w:w="897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+ 53,9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+ 54,7</w:t>
            </w:r>
          </w:p>
        </w:tc>
        <w:tc>
          <w:tcPr>
            <w:tcW w:w="1158" w:type="dxa"/>
            <w:shd w:val="clear" w:color="auto" w:fill="B8CCE4"/>
          </w:tcPr>
          <w:p w:rsidR="00CD7824" w:rsidRPr="00C03B3A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462" w:type="dxa"/>
            <w:shd w:val="clear" w:color="auto" w:fill="B8CCE4"/>
          </w:tcPr>
          <w:p w:rsidR="00CD7824" w:rsidRPr="00374857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CD7824" w:rsidRPr="009A018E" w:rsidTr="0088599E">
        <w:trPr>
          <w:trHeight w:val="229"/>
        </w:trPr>
        <w:tc>
          <w:tcPr>
            <w:tcW w:w="3708" w:type="dxa"/>
            <w:vMerge w:val="restart"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103,77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98,34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104,36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+ 0,6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+ 6,1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133,13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133,64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143,46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+ 7,8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+ 7,3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03" w:type="dxa"/>
            <w:shd w:val="clear" w:color="auto" w:fill="B8CCE4"/>
          </w:tcPr>
          <w:p w:rsidR="00732A66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+ 28,3</w:t>
            </w:r>
          </w:p>
        </w:tc>
        <w:tc>
          <w:tcPr>
            <w:tcW w:w="897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+ 35,9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+ 37,5</w:t>
            </w:r>
          </w:p>
        </w:tc>
        <w:tc>
          <w:tcPr>
            <w:tcW w:w="1158" w:type="dxa"/>
            <w:shd w:val="clear" w:color="auto" w:fill="B8CCE4"/>
          </w:tcPr>
          <w:p w:rsidR="00CD7824" w:rsidRPr="00C03B3A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462" w:type="dxa"/>
            <w:shd w:val="clear" w:color="auto" w:fill="B8CCE4"/>
          </w:tcPr>
          <w:p w:rsidR="00CD7824" w:rsidRPr="00374857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CD7824" w:rsidRPr="009A018E" w:rsidTr="0088599E">
        <w:trPr>
          <w:trHeight w:val="247"/>
        </w:trPr>
        <w:tc>
          <w:tcPr>
            <w:tcW w:w="3708" w:type="dxa"/>
            <w:vMerge w:val="restart"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90,95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86,03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90,64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- 0,3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+ 5,4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123,02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121,03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120,51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- 2,0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- 0,4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+ 35,3</w:t>
            </w:r>
          </w:p>
        </w:tc>
        <w:tc>
          <w:tcPr>
            <w:tcW w:w="897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+ 40,7</w:t>
            </w:r>
          </w:p>
        </w:tc>
        <w:tc>
          <w:tcPr>
            <w:tcW w:w="903" w:type="dxa"/>
            <w:shd w:val="clear" w:color="auto" w:fill="B8CCE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+ 33,0</w:t>
            </w:r>
          </w:p>
        </w:tc>
        <w:tc>
          <w:tcPr>
            <w:tcW w:w="1158" w:type="dxa"/>
            <w:shd w:val="clear" w:color="auto" w:fill="B8CCE4"/>
          </w:tcPr>
          <w:p w:rsidR="00CD7824" w:rsidRPr="00C03B3A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462" w:type="dxa"/>
            <w:shd w:val="clear" w:color="auto" w:fill="B8CCE4"/>
          </w:tcPr>
          <w:p w:rsidR="00CD7824" w:rsidRPr="00374857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CD7824" w:rsidRPr="009A018E" w:rsidTr="0088599E">
        <w:trPr>
          <w:trHeight w:val="229"/>
        </w:trPr>
        <w:tc>
          <w:tcPr>
            <w:tcW w:w="3708" w:type="dxa"/>
            <w:vMerge w:val="restart"/>
            <w:shd w:val="clear" w:color="auto" w:fill="FBD4B4"/>
          </w:tcPr>
          <w:p w:rsidR="00CD7824" w:rsidRPr="00374857" w:rsidRDefault="00C03B3A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Tvaroh měkký </w:t>
            </w:r>
            <w:r w:rsidR="00CD7824" w:rsidRPr="00374857">
              <w:rPr>
                <w:sz w:val="20"/>
                <w:szCs w:val="22"/>
              </w:rPr>
              <w:t>(Kč/kg)</w:t>
            </w: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35,82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40,95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43,88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5B2483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+ 22,5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2D5179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+ 7,2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62,72</w:t>
            </w:r>
          </w:p>
        </w:tc>
        <w:tc>
          <w:tcPr>
            <w:tcW w:w="897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61,38</w:t>
            </w:r>
          </w:p>
        </w:tc>
        <w:tc>
          <w:tcPr>
            <w:tcW w:w="903" w:type="dxa"/>
          </w:tcPr>
          <w:p w:rsidR="00CD7824" w:rsidRPr="00374857" w:rsidRDefault="00732A66" w:rsidP="0098477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66,64</w:t>
            </w:r>
          </w:p>
        </w:tc>
        <w:tc>
          <w:tcPr>
            <w:tcW w:w="1158" w:type="dxa"/>
            <w:shd w:val="clear" w:color="auto" w:fill="FBD4B4"/>
          </w:tcPr>
          <w:p w:rsidR="00CD7824" w:rsidRPr="00C03B3A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+ 6,3</w:t>
            </w:r>
          </w:p>
        </w:tc>
        <w:tc>
          <w:tcPr>
            <w:tcW w:w="1462" w:type="dxa"/>
            <w:shd w:val="clear" w:color="auto" w:fill="FBD4B4"/>
          </w:tcPr>
          <w:p w:rsidR="00CD7824" w:rsidRPr="00374857" w:rsidRDefault="00732A66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+ 8,6</w:t>
            </w:r>
          </w:p>
        </w:tc>
      </w:tr>
      <w:tr w:rsidR="00CD7824" w:rsidRPr="009A018E" w:rsidTr="0088599E">
        <w:trPr>
          <w:trHeight w:val="169"/>
        </w:trPr>
        <w:tc>
          <w:tcPr>
            <w:tcW w:w="370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/>
          </w:tcPr>
          <w:p w:rsidR="00CD7824" w:rsidRPr="00374857" w:rsidRDefault="000E23BE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+ 75,1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B8CCE4"/>
          </w:tcPr>
          <w:p w:rsidR="00CD7824" w:rsidRPr="00374857" w:rsidRDefault="000E23BE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+ 49,9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/>
          </w:tcPr>
          <w:p w:rsidR="00CD7824" w:rsidRPr="00374857" w:rsidRDefault="000E23BE" w:rsidP="0098477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+ 51,9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B8CCE4"/>
          </w:tcPr>
          <w:p w:rsidR="00CD7824" w:rsidRPr="00C03B3A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B8CCE4"/>
          </w:tcPr>
          <w:p w:rsidR="00CD7824" w:rsidRPr="00374857" w:rsidRDefault="00CD7824" w:rsidP="0098477D">
            <w:pPr>
              <w:jc w:val="right"/>
              <w:rPr>
                <w:b/>
                <w:sz w:val="20"/>
                <w:szCs w:val="22"/>
              </w:rPr>
            </w:pP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r w:rsidRPr="0098477D">
        <w:rPr>
          <w:i/>
          <w:sz w:val="18"/>
          <w:szCs w:val="18"/>
        </w:rPr>
        <w:lastRenderedPageBreak/>
        <w:t>Pramen: Rezortní statistika Mlék (</w:t>
      </w:r>
      <w:proofErr w:type="spellStart"/>
      <w:r w:rsidRPr="0098477D">
        <w:rPr>
          <w:i/>
          <w:sz w:val="18"/>
          <w:szCs w:val="18"/>
        </w:rPr>
        <w:t>MZe</w:t>
      </w:r>
      <w:proofErr w:type="spellEnd"/>
      <w:r w:rsidRPr="0098477D">
        <w:rPr>
          <w:i/>
          <w:sz w:val="18"/>
          <w:szCs w:val="18"/>
        </w:rPr>
        <w:t>) 6-12, ČSÚ</w:t>
      </w:r>
      <w:r w:rsidR="002056B1">
        <w:rPr>
          <w:i/>
          <w:sz w:val="18"/>
          <w:szCs w:val="18"/>
        </w:rPr>
        <w:t xml:space="preserve"> </w:t>
      </w:r>
    </w:p>
    <w:p w:rsidR="004151D2" w:rsidRPr="009A018E" w:rsidRDefault="004151D2" w:rsidP="009A018E">
      <w:pPr>
        <w:sectPr w:rsidR="004151D2" w:rsidRPr="009A018E" w:rsidSect="00684B04">
          <w:type w:val="continuous"/>
          <w:pgSz w:w="11906" w:h="16838"/>
          <w:pgMar w:top="1418" w:right="851" w:bottom="1418" w:left="851" w:header="709" w:footer="709" w:gutter="0"/>
          <w:cols w:space="708"/>
        </w:sectPr>
      </w:pPr>
    </w:p>
    <w:p w:rsidR="00CD7824" w:rsidRPr="009A018E" w:rsidRDefault="00CD7824" w:rsidP="004151D2">
      <w:pPr>
        <w:ind w:left="284" w:hanging="284"/>
      </w:pPr>
    </w:p>
    <w:p w:rsidR="00CD7824" w:rsidRDefault="00CD7824" w:rsidP="009A018E"/>
    <w:p w:rsidR="008477C0" w:rsidRDefault="008477C0" w:rsidP="009A018E"/>
    <w:p w:rsidR="00C36F52" w:rsidRDefault="00C36F52" w:rsidP="009A018E"/>
    <w:p w:rsidR="00C36F52" w:rsidRDefault="00F548D7" w:rsidP="009A018E">
      <w:r w:rsidRPr="00F548D7">
        <w:rPr>
          <w:noProof/>
        </w:rPr>
        <w:lastRenderedPageBreak/>
        <w:drawing>
          <wp:inline distT="0" distB="0" distL="0" distR="0">
            <wp:extent cx="3467100" cy="2333625"/>
            <wp:effectExtent l="19050" t="0" r="1905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77C0" w:rsidRDefault="00610748" w:rsidP="009A018E">
      <w:r w:rsidRPr="00610748">
        <w:rPr>
          <w:noProof/>
        </w:rPr>
        <w:lastRenderedPageBreak/>
        <w:drawing>
          <wp:inline distT="0" distB="0" distL="0" distR="0">
            <wp:extent cx="3286125" cy="2514600"/>
            <wp:effectExtent l="19050" t="0" r="9525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54E0" w:rsidRDefault="000254E0" w:rsidP="009A018E"/>
    <w:p w:rsidR="00CD7824" w:rsidRPr="009A018E" w:rsidRDefault="00CD7824" w:rsidP="009A018E">
      <w:pPr>
        <w:sectPr w:rsidR="00CD7824" w:rsidRPr="009A018E" w:rsidSect="00457CC5">
          <w:type w:val="continuous"/>
          <w:pgSz w:w="11906" w:h="16838"/>
          <w:pgMar w:top="1418" w:right="567" w:bottom="1418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BF749F" w:rsidRPr="007B426C" w:rsidRDefault="00BF749F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 w:rsidRPr="007B426C">
        <w:rPr>
          <w:b/>
        </w:rPr>
        <w:lastRenderedPageBreak/>
        <w:t xml:space="preserve">Zahraniční obchod </w:t>
      </w:r>
      <w:r>
        <w:rPr>
          <w:b/>
        </w:rPr>
        <w:t xml:space="preserve">leden až </w:t>
      </w:r>
      <w:r w:rsidR="000E23BE">
        <w:rPr>
          <w:b/>
        </w:rPr>
        <w:t>říjen</w:t>
      </w:r>
      <w:r>
        <w:rPr>
          <w:b/>
        </w:rPr>
        <w:t xml:space="preserve"> 20</w:t>
      </w:r>
      <w:r w:rsidR="0085644D">
        <w:rPr>
          <w:b/>
        </w:rPr>
        <w:t>10</w:t>
      </w:r>
      <w:r>
        <w:rPr>
          <w:b/>
        </w:rPr>
        <w:t xml:space="preserve"> a 201</w:t>
      </w:r>
      <w:r w:rsidR="0085644D">
        <w:rPr>
          <w:b/>
        </w:rPr>
        <w:t>1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0E23B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 xml:space="preserve">Leden - </w:t>
            </w:r>
            <w:r w:rsidR="000E23BE">
              <w:rPr>
                <w:b/>
                <w:sz w:val="20"/>
              </w:rPr>
              <w:t>říjen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85644D" w:rsidRPr="007D3526">
              <w:rPr>
                <w:b/>
                <w:sz w:val="20"/>
              </w:rPr>
              <w:t>1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10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10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11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10 350 564</w:t>
            </w:r>
          </w:p>
        </w:tc>
        <w:tc>
          <w:tcPr>
            <w:tcW w:w="1768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12 235 567</w:t>
            </w:r>
          </w:p>
        </w:tc>
        <w:tc>
          <w:tcPr>
            <w:tcW w:w="1769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1 885 003</w:t>
            </w:r>
          </w:p>
        </w:tc>
        <w:tc>
          <w:tcPr>
            <w:tcW w:w="1569" w:type="dxa"/>
            <w:vAlign w:val="center"/>
          </w:tcPr>
          <w:p w:rsidR="00BF749F" w:rsidRPr="007D3526" w:rsidRDefault="00F3693D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118,2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8 091 124</w:t>
            </w:r>
          </w:p>
        </w:tc>
        <w:tc>
          <w:tcPr>
            <w:tcW w:w="1768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8 654 604</w:t>
            </w:r>
          </w:p>
        </w:tc>
        <w:tc>
          <w:tcPr>
            <w:tcW w:w="1769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563 480</w:t>
            </w:r>
          </w:p>
        </w:tc>
        <w:tc>
          <w:tcPr>
            <w:tcW w:w="1569" w:type="dxa"/>
            <w:vAlign w:val="center"/>
          </w:tcPr>
          <w:p w:rsidR="00BF749F" w:rsidRPr="007D3526" w:rsidRDefault="00F3693D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107,0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2 259 440</w:t>
            </w:r>
          </w:p>
        </w:tc>
        <w:tc>
          <w:tcPr>
            <w:tcW w:w="1768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3 580 963</w:t>
            </w:r>
          </w:p>
        </w:tc>
        <w:tc>
          <w:tcPr>
            <w:tcW w:w="1769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1 321 523</w:t>
            </w:r>
          </w:p>
        </w:tc>
        <w:tc>
          <w:tcPr>
            <w:tcW w:w="1569" w:type="dxa"/>
            <w:vAlign w:val="center"/>
          </w:tcPr>
          <w:p w:rsidR="00BF749F" w:rsidRPr="007D3526" w:rsidRDefault="00F3693D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158,5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18 441 688</w:t>
            </w:r>
          </w:p>
        </w:tc>
        <w:tc>
          <w:tcPr>
            <w:tcW w:w="1768" w:type="dxa"/>
            <w:vAlign w:val="center"/>
          </w:tcPr>
          <w:p w:rsidR="00BF749F" w:rsidRPr="007D3526" w:rsidRDefault="00F3693D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20 890 171</w:t>
            </w:r>
          </w:p>
        </w:tc>
        <w:tc>
          <w:tcPr>
            <w:tcW w:w="1769" w:type="dxa"/>
            <w:vAlign w:val="center"/>
          </w:tcPr>
          <w:p w:rsidR="00BF749F" w:rsidRPr="007D3526" w:rsidRDefault="00F3693D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2 448 483</w:t>
            </w:r>
          </w:p>
        </w:tc>
        <w:tc>
          <w:tcPr>
            <w:tcW w:w="1569" w:type="dxa"/>
            <w:vAlign w:val="center"/>
          </w:tcPr>
          <w:p w:rsidR="00BF749F" w:rsidRPr="007D3526" w:rsidRDefault="00F3693D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113,3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Pr="00170C55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a smetany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tvarohů, vyšší úrovní vývozních cen.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C4420E" w:rsidRDefault="00C4420E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 xml:space="preserve">Vývoj </w:t>
      </w:r>
      <w:proofErr w:type="spellStart"/>
      <w:r>
        <w:rPr>
          <w:b/>
        </w:rPr>
        <w:t>zahran</w:t>
      </w:r>
      <w:proofErr w:type="spellEnd"/>
      <w:r>
        <w:rPr>
          <w:b/>
        </w:rPr>
        <w:t>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až </w:t>
      </w:r>
      <w:r w:rsidR="000E23BE">
        <w:rPr>
          <w:b/>
        </w:rPr>
        <w:t xml:space="preserve">říjen </w:t>
      </w:r>
      <w:r w:rsidR="0085644D">
        <w:rPr>
          <w:b/>
        </w:rPr>
        <w:t>2011 a 2010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30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01D6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10</w:t>
            </w:r>
          </w:p>
          <w:p w:rsidR="00BF749F" w:rsidRPr="007B426C" w:rsidRDefault="00BF749F" w:rsidP="0085644D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85644D"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60 656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62 005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486 426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528 688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425 770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466 683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3A1122" w:rsidRDefault="00F3693D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13,05</w:t>
            </w:r>
          </w:p>
          <w:p w:rsidR="00F3693D" w:rsidRPr="007B426C" w:rsidRDefault="00F3693D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14,89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9,12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10,02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3A1122" w:rsidRDefault="00F3693D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791 662</w:t>
            </w:r>
          </w:p>
          <w:p w:rsidR="00F3693D" w:rsidRPr="007B426C" w:rsidRDefault="00F3693D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923 307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4 436 880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5 297 708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3A1122" w:rsidRDefault="00F3693D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3 645 218</w:t>
            </w:r>
          </w:p>
          <w:p w:rsidR="00F3693D" w:rsidRPr="007B426C" w:rsidRDefault="00F3693D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4 374 401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6 669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6 341</w:t>
            </w:r>
          </w:p>
        </w:tc>
        <w:tc>
          <w:tcPr>
            <w:tcW w:w="932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25 949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28 082</w:t>
            </w:r>
          </w:p>
        </w:tc>
        <w:tc>
          <w:tcPr>
            <w:tcW w:w="964" w:type="dxa"/>
            <w:vAlign w:val="center"/>
          </w:tcPr>
          <w:p w:rsidR="00F432DD" w:rsidRDefault="00F3693D" w:rsidP="003617D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19 280</w:t>
            </w:r>
          </w:p>
          <w:p w:rsidR="00F3693D" w:rsidRPr="007B426C" w:rsidRDefault="00F3693D" w:rsidP="003617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21 741</w:t>
            </w:r>
          </w:p>
        </w:tc>
        <w:tc>
          <w:tcPr>
            <w:tcW w:w="688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34,96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34,61</w:t>
            </w:r>
          </w:p>
        </w:tc>
        <w:tc>
          <w:tcPr>
            <w:tcW w:w="817" w:type="dxa"/>
            <w:vAlign w:val="center"/>
          </w:tcPr>
          <w:p w:rsidR="003A1122" w:rsidRDefault="00F3693D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52,80</w:t>
            </w:r>
          </w:p>
          <w:p w:rsidR="00F3693D" w:rsidRPr="007B426C" w:rsidRDefault="00F3693D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59,93</w:t>
            </w:r>
          </w:p>
        </w:tc>
        <w:tc>
          <w:tcPr>
            <w:tcW w:w="1110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233 109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219 464</w:t>
            </w:r>
          </w:p>
        </w:tc>
        <w:tc>
          <w:tcPr>
            <w:tcW w:w="1105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1 370 095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1 683 018</w:t>
            </w:r>
          </w:p>
        </w:tc>
        <w:tc>
          <w:tcPr>
            <w:tcW w:w="1161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1 136 986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1 463 554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34 705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35 859</w:t>
            </w:r>
          </w:p>
        </w:tc>
        <w:tc>
          <w:tcPr>
            <w:tcW w:w="932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58 781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58 699</w:t>
            </w:r>
          </w:p>
        </w:tc>
        <w:tc>
          <w:tcPr>
            <w:tcW w:w="964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24 076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22 840</w:t>
            </w:r>
          </w:p>
        </w:tc>
        <w:tc>
          <w:tcPr>
            <w:tcW w:w="688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26,17</w:t>
            </w:r>
          </w:p>
        </w:tc>
        <w:tc>
          <w:tcPr>
            <w:tcW w:w="817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27,05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27,04</w:t>
            </w:r>
          </w:p>
        </w:tc>
        <w:tc>
          <w:tcPr>
            <w:tcW w:w="1110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868 939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938 270</w:t>
            </w:r>
          </w:p>
        </w:tc>
        <w:tc>
          <w:tcPr>
            <w:tcW w:w="1105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1 590 201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1 587 072</w:t>
            </w:r>
          </w:p>
        </w:tc>
        <w:tc>
          <w:tcPr>
            <w:tcW w:w="1161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721 262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648 802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23 525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21 818</w:t>
            </w:r>
          </w:p>
        </w:tc>
        <w:tc>
          <w:tcPr>
            <w:tcW w:w="932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34 674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42 885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11 149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21 067</w:t>
            </w:r>
          </w:p>
        </w:tc>
        <w:tc>
          <w:tcPr>
            <w:tcW w:w="688" w:type="dxa"/>
            <w:vAlign w:val="center"/>
          </w:tcPr>
          <w:p w:rsidR="003A1122" w:rsidRDefault="00F3693D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8,68</w:t>
            </w:r>
          </w:p>
          <w:p w:rsidR="00F3693D" w:rsidRPr="007B426C" w:rsidRDefault="00F3693D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11,39</w:t>
            </w:r>
          </w:p>
        </w:tc>
        <w:tc>
          <w:tcPr>
            <w:tcW w:w="817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15,07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16,34</w:t>
            </w:r>
          </w:p>
        </w:tc>
        <w:tc>
          <w:tcPr>
            <w:tcW w:w="1110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204 210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248 550</w:t>
            </w:r>
          </w:p>
        </w:tc>
        <w:tc>
          <w:tcPr>
            <w:tcW w:w="1105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522 482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700 600</w:t>
            </w:r>
          </w:p>
        </w:tc>
        <w:tc>
          <w:tcPr>
            <w:tcW w:w="1161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318 272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452 050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15 159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15 052</w:t>
            </w:r>
          </w:p>
        </w:tc>
        <w:tc>
          <w:tcPr>
            <w:tcW w:w="932" w:type="dxa"/>
            <w:vAlign w:val="center"/>
          </w:tcPr>
          <w:p w:rsidR="00F432DD" w:rsidRDefault="00F3693D" w:rsidP="00F432DD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7 295</w:t>
            </w:r>
          </w:p>
          <w:p w:rsidR="00F3693D" w:rsidRPr="007B426C" w:rsidRDefault="00F3693D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4 067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- 7 864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- 10 582</w:t>
            </w:r>
          </w:p>
        </w:tc>
        <w:tc>
          <w:tcPr>
            <w:tcW w:w="688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85,07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84,58</w:t>
            </w:r>
          </w:p>
        </w:tc>
        <w:tc>
          <w:tcPr>
            <w:tcW w:w="817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64,89</w:t>
            </w:r>
          </w:p>
          <w:p w:rsidR="00F3693D" w:rsidRPr="007B426C" w:rsidRDefault="00F3693D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93,47</w:t>
            </w:r>
          </w:p>
        </w:tc>
        <w:tc>
          <w:tcPr>
            <w:tcW w:w="1110" w:type="dxa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1 289 546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1 273 043</w:t>
            </w:r>
          </w:p>
        </w:tc>
        <w:tc>
          <w:tcPr>
            <w:tcW w:w="1105" w:type="dxa"/>
            <w:vAlign w:val="center"/>
          </w:tcPr>
          <w:p w:rsidR="003A1122" w:rsidRDefault="00F3693D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473 411</w:t>
            </w:r>
          </w:p>
          <w:p w:rsidR="00F3693D" w:rsidRPr="007B426C" w:rsidRDefault="00F3693D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380 192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- 816 135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- 892 851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F432DD" w:rsidRDefault="00F3693D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64 757</w:t>
            </w:r>
          </w:p>
          <w:p w:rsidR="00F3693D" w:rsidRPr="007B426C" w:rsidRDefault="00F3693D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66 270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24 244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26 273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F432DD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- 40 513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- 39 997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72,64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76,23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80,74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98,46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4 703 659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5 051 970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1 957 494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2 586 976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3A1122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- 2 746 165</w:t>
            </w:r>
          </w:p>
          <w:p w:rsidR="00F3693D" w:rsidRPr="007B426C" w:rsidRDefault="00F3693D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- 2 464 994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</w:p>
    <w:p w:rsidR="000019CE" w:rsidRDefault="000019CE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6408F8" w:rsidRDefault="00170C55" w:rsidP="00BF749F">
      <w:pPr>
        <w:shd w:val="clear" w:color="auto" w:fill="FFFFFF"/>
        <w:ind w:left="284"/>
        <w:jc w:val="both"/>
        <w:rPr>
          <w:sz w:val="22"/>
          <w:szCs w:val="22"/>
        </w:rPr>
      </w:pPr>
      <w:r w:rsidRPr="00D66B6A">
        <w:rPr>
          <w:sz w:val="22"/>
          <w:szCs w:val="22"/>
        </w:rPr>
        <w:t xml:space="preserve">Snižuje se počet destinací vývozu, za leden – </w:t>
      </w:r>
      <w:r w:rsidR="006408F8">
        <w:rPr>
          <w:sz w:val="22"/>
          <w:szCs w:val="22"/>
        </w:rPr>
        <w:t>říjen</w:t>
      </w:r>
      <w:r w:rsidRPr="00D66B6A">
        <w:rPr>
          <w:sz w:val="22"/>
          <w:szCs w:val="22"/>
        </w:rPr>
        <w:t xml:space="preserve"> 2011 bylo mléko a mléčné výrobky vyvezeny do </w:t>
      </w:r>
      <w:r w:rsidR="002908B7" w:rsidRPr="00D66B6A">
        <w:rPr>
          <w:sz w:val="22"/>
          <w:szCs w:val="22"/>
        </w:rPr>
        <w:t>5</w:t>
      </w:r>
      <w:r w:rsidR="006408F8">
        <w:rPr>
          <w:sz w:val="22"/>
          <w:szCs w:val="22"/>
        </w:rPr>
        <w:t>9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 (ke konci roku 2010 ještě 67 zemí). </w:t>
      </w:r>
      <w:r w:rsidR="00EB4140">
        <w:rPr>
          <w:sz w:val="22"/>
          <w:szCs w:val="22"/>
        </w:rPr>
        <w:t>Tři</w:t>
      </w:r>
      <w:r>
        <w:rPr>
          <w:sz w:val="22"/>
          <w:szCs w:val="22"/>
        </w:rPr>
        <w:t xml:space="preserve"> čtvrtiny finančního objemu vývozu představuje export do </w:t>
      </w:r>
      <w:r w:rsidR="004341FB">
        <w:rPr>
          <w:sz w:val="22"/>
          <w:szCs w:val="22"/>
        </w:rPr>
        <w:br/>
      </w:r>
      <w:r>
        <w:rPr>
          <w:sz w:val="22"/>
          <w:szCs w:val="22"/>
        </w:rPr>
        <w:t xml:space="preserve">5 zemí (do Německa </w:t>
      </w:r>
      <w:r w:rsidR="000C342C">
        <w:rPr>
          <w:sz w:val="22"/>
          <w:szCs w:val="22"/>
        </w:rPr>
        <w:t>3</w:t>
      </w:r>
      <w:r w:rsidR="00EB4140">
        <w:rPr>
          <w:sz w:val="22"/>
          <w:szCs w:val="22"/>
        </w:rPr>
        <w:t>2</w:t>
      </w:r>
      <w:r w:rsidR="000C342C">
        <w:rPr>
          <w:sz w:val="22"/>
          <w:szCs w:val="22"/>
        </w:rPr>
        <w:t>,</w:t>
      </w:r>
      <w:r w:rsidR="00C01C12">
        <w:rPr>
          <w:sz w:val="22"/>
          <w:szCs w:val="22"/>
        </w:rPr>
        <w:t>2</w:t>
      </w:r>
      <w:r>
        <w:rPr>
          <w:sz w:val="22"/>
          <w:szCs w:val="22"/>
        </w:rPr>
        <w:t xml:space="preserve"> %, na Slovensko </w:t>
      </w:r>
      <w:r w:rsidR="000C342C">
        <w:rPr>
          <w:sz w:val="22"/>
          <w:szCs w:val="22"/>
        </w:rPr>
        <w:t>18,</w:t>
      </w:r>
      <w:r w:rsidR="00C01C12">
        <w:rPr>
          <w:sz w:val="22"/>
          <w:szCs w:val="22"/>
        </w:rPr>
        <w:t>6</w:t>
      </w:r>
      <w:r>
        <w:rPr>
          <w:sz w:val="22"/>
          <w:szCs w:val="22"/>
        </w:rPr>
        <w:t xml:space="preserve"> %, do Itálie </w:t>
      </w:r>
      <w:r w:rsidR="000C342C">
        <w:rPr>
          <w:sz w:val="22"/>
          <w:szCs w:val="22"/>
        </w:rPr>
        <w:t>14,</w:t>
      </w:r>
      <w:r w:rsidR="00C01C12">
        <w:rPr>
          <w:sz w:val="22"/>
          <w:szCs w:val="22"/>
        </w:rPr>
        <w:t>2</w:t>
      </w:r>
      <w:r>
        <w:rPr>
          <w:sz w:val="22"/>
          <w:szCs w:val="22"/>
        </w:rPr>
        <w:t xml:space="preserve"> %, Maďarska 5,</w:t>
      </w:r>
      <w:r w:rsidR="00EB4140">
        <w:rPr>
          <w:sz w:val="22"/>
          <w:szCs w:val="22"/>
        </w:rPr>
        <w:t>2</w:t>
      </w:r>
      <w:r>
        <w:rPr>
          <w:sz w:val="22"/>
          <w:szCs w:val="22"/>
        </w:rPr>
        <w:t xml:space="preserve"> %, Polska </w:t>
      </w:r>
      <w:r w:rsidR="00B6586F">
        <w:rPr>
          <w:sz w:val="22"/>
          <w:szCs w:val="22"/>
        </w:rPr>
        <w:t>4,</w:t>
      </w:r>
      <w:r w:rsidR="006408F8">
        <w:rPr>
          <w:sz w:val="22"/>
          <w:szCs w:val="22"/>
        </w:rPr>
        <w:t>7</w:t>
      </w:r>
      <w:r>
        <w:rPr>
          <w:sz w:val="22"/>
          <w:szCs w:val="22"/>
        </w:rPr>
        <w:t xml:space="preserve"> %). Do zemí EU-27 se v daném období vyvezlo </w:t>
      </w:r>
      <w:r w:rsidR="002908B7">
        <w:rPr>
          <w:sz w:val="22"/>
          <w:szCs w:val="22"/>
        </w:rPr>
        <w:t>87,</w:t>
      </w:r>
      <w:r w:rsidR="006408F8">
        <w:rPr>
          <w:sz w:val="22"/>
          <w:szCs w:val="22"/>
        </w:rPr>
        <w:t>4</w:t>
      </w:r>
      <w:r>
        <w:rPr>
          <w:sz w:val="22"/>
          <w:szCs w:val="22"/>
        </w:rPr>
        <w:t xml:space="preserve"> % finanční hodnoty vývozu mléka a mléčných výrobků, podíl vývozu do třetích zemí představoval v daném období </w:t>
      </w:r>
      <w:r w:rsidR="005C52D0">
        <w:rPr>
          <w:sz w:val="22"/>
          <w:szCs w:val="22"/>
        </w:rPr>
        <w:t>12,</w:t>
      </w:r>
      <w:r w:rsidR="006408F8">
        <w:rPr>
          <w:sz w:val="22"/>
          <w:szCs w:val="22"/>
        </w:rPr>
        <w:t>6</w:t>
      </w:r>
      <w:r w:rsidR="002908B7">
        <w:rPr>
          <w:sz w:val="22"/>
          <w:szCs w:val="22"/>
        </w:rPr>
        <w:t xml:space="preserve"> %. Vývoz do třetích zemí tvořily převážně destinace – </w:t>
      </w:r>
      <w:r w:rsidR="005C52D0">
        <w:rPr>
          <w:sz w:val="22"/>
          <w:szCs w:val="22"/>
        </w:rPr>
        <w:t xml:space="preserve">Libanon (sušené plnotučné mléko, sýry – Eidam), </w:t>
      </w:r>
      <w:r w:rsidR="002908B7">
        <w:rPr>
          <w:sz w:val="22"/>
          <w:szCs w:val="22"/>
        </w:rPr>
        <w:t>Thajsko (převážně sušená mléka</w:t>
      </w:r>
      <w:r w:rsidR="005C52D0">
        <w:rPr>
          <w:sz w:val="22"/>
          <w:szCs w:val="22"/>
        </w:rPr>
        <w:t xml:space="preserve"> a syrovátka</w:t>
      </w:r>
      <w:r w:rsidR="002908B7">
        <w:rPr>
          <w:sz w:val="22"/>
          <w:szCs w:val="22"/>
        </w:rPr>
        <w:t xml:space="preserve">), </w:t>
      </w:r>
      <w:r w:rsidR="005C52D0">
        <w:rPr>
          <w:sz w:val="22"/>
          <w:szCs w:val="22"/>
        </w:rPr>
        <w:t xml:space="preserve">Chorvatsko (mléčná surovina, sušená mléka, kondenzovaná mléka), Srbsko (sušené plnotučné mléko, máslo v blocích), </w:t>
      </w:r>
      <w:r w:rsidR="002908B7">
        <w:rPr>
          <w:sz w:val="22"/>
          <w:szCs w:val="22"/>
        </w:rPr>
        <w:t xml:space="preserve">Bangladéš </w:t>
      </w:r>
      <w:r w:rsidR="004341FB">
        <w:rPr>
          <w:sz w:val="22"/>
          <w:szCs w:val="22"/>
        </w:rPr>
        <w:br/>
      </w:r>
      <w:r w:rsidR="005C52D0">
        <w:rPr>
          <w:sz w:val="22"/>
          <w:szCs w:val="22"/>
        </w:rPr>
        <w:t xml:space="preserve">a Malajsie </w:t>
      </w:r>
      <w:r w:rsidR="002908B7">
        <w:rPr>
          <w:sz w:val="22"/>
          <w:szCs w:val="22"/>
        </w:rPr>
        <w:t xml:space="preserve">(sušená syrovátka), </w:t>
      </w:r>
      <w:r w:rsidR="00F03765">
        <w:rPr>
          <w:sz w:val="22"/>
          <w:szCs w:val="22"/>
        </w:rPr>
        <w:t xml:space="preserve">Spojené arabské emiráty a Saudská Arábie (převážně bílé sýry). </w:t>
      </w: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C01C12">
        <w:rPr>
          <w:sz w:val="22"/>
          <w:szCs w:val="22"/>
          <w:u w:val="single"/>
        </w:rPr>
        <w:t>43,</w:t>
      </w:r>
      <w:r w:rsidR="006408F8">
        <w:rPr>
          <w:sz w:val="22"/>
          <w:szCs w:val="22"/>
          <w:u w:val="single"/>
        </w:rPr>
        <w:t>3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C01C12">
        <w:rPr>
          <w:sz w:val="22"/>
          <w:szCs w:val="22"/>
        </w:rPr>
        <w:t>25,</w:t>
      </w:r>
      <w:r w:rsidR="006408F8">
        <w:rPr>
          <w:sz w:val="22"/>
          <w:szCs w:val="22"/>
        </w:rPr>
        <w:t>4</w:t>
      </w:r>
      <w:r>
        <w:rPr>
          <w:sz w:val="22"/>
          <w:szCs w:val="22"/>
        </w:rPr>
        <w:t xml:space="preserve"> %. </w:t>
      </w: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Dovozy ze tří zemí - z Německa (</w:t>
      </w:r>
      <w:r w:rsidR="006408F8">
        <w:rPr>
          <w:sz w:val="22"/>
          <w:szCs w:val="22"/>
        </w:rPr>
        <w:t>41,9</w:t>
      </w:r>
      <w:r>
        <w:rPr>
          <w:sz w:val="22"/>
          <w:szCs w:val="22"/>
        </w:rPr>
        <w:t xml:space="preserve"> %), Polska (29,</w:t>
      </w:r>
      <w:r w:rsidR="006408F8">
        <w:rPr>
          <w:sz w:val="22"/>
          <w:szCs w:val="22"/>
        </w:rPr>
        <w:t>3</w:t>
      </w:r>
      <w:r>
        <w:rPr>
          <w:sz w:val="22"/>
          <w:szCs w:val="22"/>
        </w:rPr>
        <w:t xml:space="preserve"> %) a Slovenska (13,</w:t>
      </w:r>
      <w:r w:rsidR="00BA098D">
        <w:rPr>
          <w:sz w:val="22"/>
          <w:szCs w:val="22"/>
        </w:rPr>
        <w:t>1</w:t>
      </w:r>
      <w:r>
        <w:rPr>
          <w:sz w:val="22"/>
          <w:szCs w:val="22"/>
        </w:rPr>
        <w:t xml:space="preserve"> %) představují </w:t>
      </w:r>
      <w:r w:rsidR="002567B0">
        <w:rPr>
          <w:sz w:val="22"/>
          <w:szCs w:val="22"/>
        </w:rPr>
        <w:t xml:space="preserve">celkem </w:t>
      </w:r>
      <w:r w:rsidR="00F82D6A">
        <w:rPr>
          <w:sz w:val="22"/>
          <w:szCs w:val="22"/>
        </w:rPr>
        <w:t>8</w:t>
      </w:r>
      <w:r w:rsidR="002567B0">
        <w:rPr>
          <w:sz w:val="22"/>
          <w:szCs w:val="22"/>
        </w:rPr>
        <w:t>4,</w:t>
      </w:r>
      <w:r w:rsidR="006408F8">
        <w:rPr>
          <w:sz w:val="22"/>
          <w:szCs w:val="22"/>
        </w:rPr>
        <w:t>3</w:t>
      </w:r>
      <w:r w:rsidR="00F82D6A">
        <w:rPr>
          <w:sz w:val="22"/>
          <w:szCs w:val="22"/>
        </w:rPr>
        <w:t xml:space="preserve"> % veškerého dovozu mléka a mléčných výrobků (z finančního vyjádření). V období leden – </w:t>
      </w:r>
      <w:r w:rsidR="006408F8">
        <w:rPr>
          <w:sz w:val="22"/>
          <w:szCs w:val="22"/>
        </w:rPr>
        <w:t>říjen</w:t>
      </w:r>
      <w:r w:rsidR="00F82D6A">
        <w:rPr>
          <w:sz w:val="22"/>
          <w:szCs w:val="22"/>
        </w:rPr>
        <w:t xml:space="preserve"> 2011</w:t>
      </w:r>
      <w:r w:rsidR="00F82D6A" w:rsidRPr="00AB3150">
        <w:rPr>
          <w:sz w:val="22"/>
          <w:szCs w:val="22"/>
        </w:rPr>
        <w:t xml:space="preserve"> se mléko a mléčné výrobky dovezly do ČR z</w:t>
      </w:r>
      <w:r w:rsidR="00875038">
        <w:rPr>
          <w:sz w:val="22"/>
          <w:szCs w:val="22"/>
        </w:rPr>
        <w:t> </w:t>
      </w:r>
      <w:r w:rsidR="00AD153D">
        <w:rPr>
          <w:sz w:val="22"/>
          <w:szCs w:val="22"/>
        </w:rPr>
        <w:t>3</w:t>
      </w:r>
      <w:r w:rsidR="00BA098D">
        <w:rPr>
          <w:sz w:val="22"/>
          <w:szCs w:val="22"/>
        </w:rPr>
        <w:t>9</w:t>
      </w:r>
      <w:r w:rsidR="00875038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>zemí, ze zemí EU-27 celkem 99,</w:t>
      </w:r>
      <w:r w:rsidR="00F22A42">
        <w:rPr>
          <w:sz w:val="22"/>
          <w:szCs w:val="22"/>
        </w:rPr>
        <w:t>8</w:t>
      </w:r>
      <w:r w:rsidR="00F82D6A">
        <w:rPr>
          <w:sz w:val="22"/>
          <w:szCs w:val="22"/>
        </w:rPr>
        <w:t xml:space="preserve"> %. V meziročním porovnání dochází ke </w:t>
      </w:r>
      <w:r w:rsidR="00C203E0">
        <w:rPr>
          <w:sz w:val="22"/>
          <w:szCs w:val="22"/>
        </w:rPr>
        <w:t>zvýšení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6408F8">
        <w:rPr>
          <w:sz w:val="22"/>
          <w:szCs w:val="22"/>
        </w:rPr>
        <w:t>563,5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6408F8">
        <w:rPr>
          <w:sz w:val="22"/>
          <w:szCs w:val="22"/>
        </w:rPr>
        <w:t>7,0</w:t>
      </w:r>
      <w:r w:rsidR="00F82D6A">
        <w:rPr>
          <w:sz w:val="22"/>
          <w:szCs w:val="22"/>
        </w:rPr>
        <w:t xml:space="preserve"> %. 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7A33C9" w:rsidP="00C203E0">
      <w:pPr>
        <w:ind w:left="284"/>
        <w:jc w:val="both"/>
        <w:rPr>
          <w:sz w:val="22"/>
          <w:szCs w:val="22"/>
        </w:rPr>
      </w:pPr>
      <w:r w:rsidRPr="007A33C9">
        <w:rPr>
          <w:noProof/>
          <w:sz w:val="22"/>
          <w:szCs w:val="22"/>
        </w:rPr>
        <w:drawing>
          <wp:inline distT="0" distB="0" distL="0" distR="0">
            <wp:extent cx="5972810" cy="3860165"/>
            <wp:effectExtent l="19050" t="0" r="27940" b="6985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49F" w:rsidRPr="009A018E" w:rsidRDefault="00BF749F" w:rsidP="00BF749F">
      <w:pPr>
        <w:ind w:left="284"/>
      </w:pPr>
    </w:p>
    <w:p w:rsidR="004341FB" w:rsidRDefault="004341FB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lastRenderedPageBreak/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7A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38 435</w:t>
            </w:r>
          </w:p>
        </w:tc>
        <w:tc>
          <w:tcPr>
            <w:tcW w:w="723" w:type="dxa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A462A" w:rsidRDefault="00CA462A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A462A" w:rsidRPr="007A5D6A" w:rsidRDefault="007A33C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364 798</w:t>
            </w:r>
          </w:p>
        </w:tc>
      </w:tr>
      <w:tr w:rsidR="00CA462A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CA462A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CA462A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A462A" w:rsidRPr="00D66B6A" w:rsidRDefault="000E66B8" w:rsidP="007A3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A33C9">
              <w:rPr>
                <w:i/>
                <w:sz w:val="18"/>
                <w:szCs w:val="18"/>
              </w:rPr>
              <w:t>53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11" w:rsidRDefault="00873511" w:rsidP="00CC65A3">
      <w:pPr>
        <w:pStyle w:val="POZNMKA"/>
      </w:pPr>
      <w:r>
        <w:separator/>
      </w:r>
    </w:p>
  </w:endnote>
  <w:endnote w:type="continuationSeparator" w:id="0">
    <w:p w:rsidR="00873511" w:rsidRDefault="00873511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D7" w:rsidRDefault="002752C8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48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48D7" w:rsidRDefault="00F548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D7" w:rsidRDefault="00F548D7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2752C8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2752C8" w:rsidRPr="00697EEE">
      <w:rPr>
        <w:sz w:val="20"/>
      </w:rPr>
      <w:fldChar w:fldCharType="separate"/>
    </w:r>
    <w:r w:rsidR="006035E9" w:rsidRPr="006035E9">
      <w:rPr>
        <w:rFonts w:ascii="Cambria" w:hAnsi="Cambria"/>
        <w:noProof/>
        <w:sz w:val="20"/>
      </w:rPr>
      <w:t>1</w:t>
    </w:r>
    <w:r w:rsidR="002752C8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11" w:rsidRDefault="00873511" w:rsidP="00CC65A3">
      <w:pPr>
        <w:pStyle w:val="POZNMKA"/>
      </w:pPr>
      <w:r>
        <w:separator/>
      </w:r>
    </w:p>
  </w:footnote>
  <w:footnote w:type="continuationSeparator" w:id="0">
    <w:p w:rsidR="00873511" w:rsidRDefault="00873511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EDA"/>
    <w:rsid w:val="00037590"/>
    <w:rsid w:val="00041E21"/>
    <w:rsid w:val="00043F99"/>
    <w:rsid w:val="00052EC9"/>
    <w:rsid w:val="0005309F"/>
    <w:rsid w:val="00057EC8"/>
    <w:rsid w:val="0006023F"/>
    <w:rsid w:val="00067180"/>
    <w:rsid w:val="00070D27"/>
    <w:rsid w:val="00075744"/>
    <w:rsid w:val="00083C39"/>
    <w:rsid w:val="00083F92"/>
    <w:rsid w:val="00086B4B"/>
    <w:rsid w:val="00095002"/>
    <w:rsid w:val="00095191"/>
    <w:rsid w:val="000A014B"/>
    <w:rsid w:val="000A1231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D007A"/>
    <w:rsid w:val="000D0E8F"/>
    <w:rsid w:val="000D1CC3"/>
    <w:rsid w:val="000D3C92"/>
    <w:rsid w:val="000D434B"/>
    <w:rsid w:val="000D5752"/>
    <w:rsid w:val="000D5DDD"/>
    <w:rsid w:val="000D6050"/>
    <w:rsid w:val="000E23BE"/>
    <w:rsid w:val="000E5024"/>
    <w:rsid w:val="000E5623"/>
    <w:rsid w:val="000E66B8"/>
    <w:rsid w:val="000F2F4D"/>
    <w:rsid w:val="000F3DC4"/>
    <w:rsid w:val="000F5255"/>
    <w:rsid w:val="000F6240"/>
    <w:rsid w:val="000F6AC7"/>
    <w:rsid w:val="001005DD"/>
    <w:rsid w:val="0010140F"/>
    <w:rsid w:val="001031E4"/>
    <w:rsid w:val="00103784"/>
    <w:rsid w:val="0010523F"/>
    <w:rsid w:val="00106D95"/>
    <w:rsid w:val="00110D86"/>
    <w:rsid w:val="00114F7A"/>
    <w:rsid w:val="00120728"/>
    <w:rsid w:val="0012088B"/>
    <w:rsid w:val="00126559"/>
    <w:rsid w:val="00127B6F"/>
    <w:rsid w:val="00130949"/>
    <w:rsid w:val="0013178A"/>
    <w:rsid w:val="0013239D"/>
    <w:rsid w:val="001326C3"/>
    <w:rsid w:val="00133F4A"/>
    <w:rsid w:val="001356B8"/>
    <w:rsid w:val="00137BA9"/>
    <w:rsid w:val="00142BE6"/>
    <w:rsid w:val="00144ECC"/>
    <w:rsid w:val="001478F0"/>
    <w:rsid w:val="001479E3"/>
    <w:rsid w:val="001514E2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A43F7"/>
    <w:rsid w:val="001A490F"/>
    <w:rsid w:val="001A6466"/>
    <w:rsid w:val="001A6A20"/>
    <w:rsid w:val="001A6C5C"/>
    <w:rsid w:val="001B0F0C"/>
    <w:rsid w:val="001B2961"/>
    <w:rsid w:val="001C107D"/>
    <w:rsid w:val="001C14F3"/>
    <w:rsid w:val="001C5DF9"/>
    <w:rsid w:val="001C7D81"/>
    <w:rsid w:val="001D0301"/>
    <w:rsid w:val="001D371C"/>
    <w:rsid w:val="001D60D6"/>
    <w:rsid w:val="001D6DFD"/>
    <w:rsid w:val="001E5A13"/>
    <w:rsid w:val="001E66F3"/>
    <w:rsid w:val="001F2767"/>
    <w:rsid w:val="001F548D"/>
    <w:rsid w:val="001F5B53"/>
    <w:rsid w:val="00200EDE"/>
    <w:rsid w:val="00202F7A"/>
    <w:rsid w:val="002056B1"/>
    <w:rsid w:val="0021076D"/>
    <w:rsid w:val="00211C25"/>
    <w:rsid w:val="00216855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62AE"/>
    <w:rsid w:val="002711C5"/>
    <w:rsid w:val="00272382"/>
    <w:rsid w:val="002725B2"/>
    <w:rsid w:val="002752C8"/>
    <w:rsid w:val="00276DF1"/>
    <w:rsid w:val="00281B69"/>
    <w:rsid w:val="00282125"/>
    <w:rsid w:val="002824C4"/>
    <w:rsid w:val="002847D2"/>
    <w:rsid w:val="002908B7"/>
    <w:rsid w:val="00291D3E"/>
    <w:rsid w:val="002A03B3"/>
    <w:rsid w:val="002A27D3"/>
    <w:rsid w:val="002A7068"/>
    <w:rsid w:val="002B0C7A"/>
    <w:rsid w:val="002B2318"/>
    <w:rsid w:val="002B3AAA"/>
    <w:rsid w:val="002B5AAB"/>
    <w:rsid w:val="002B69E4"/>
    <w:rsid w:val="002B6D43"/>
    <w:rsid w:val="002B6EEC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4C36"/>
    <w:rsid w:val="002D5179"/>
    <w:rsid w:val="002D6217"/>
    <w:rsid w:val="002E3858"/>
    <w:rsid w:val="002E40F4"/>
    <w:rsid w:val="002E6EF3"/>
    <w:rsid w:val="002F0103"/>
    <w:rsid w:val="002F11F3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B1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81C8F"/>
    <w:rsid w:val="00384133"/>
    <w:rsid w:val="0039318D"/>
    <w:rsid w:val="00394C2C"/>
    <w:rsid w:val="00395423"/>
    <w:rsid w:val="003A1122"/>
    <w:rsid w:val="003A42A4"/>
    <w:rsid w:val="003B47C3"/>
    <w:rsid w:val="003B710E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B37"/>
    <w:rsid w:val="004151D2"/>
    <w:rsid w:val="004174AE"/>
    <w:rsid w:val="00422C1B"/>
    <w:rsid w:val="00424775"/>
    <w:rsid w:val="004249DB"/>
    <w:rsid w:val="00425178"/>
    <w:rsid w:val="0043218B"/>
    <w:rsid w:val="00432CBE"/>
    <w:rsid w:val="004341FB"/>
    <w:rsid w:val="004376CA"/>
    <w:rsid w:val="004419D1"/>
    <w:rsid w:val="00446238"/>
    <w:rsid w:val="00452EB2"/>
    <w:rsid w:val="00457CC5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B4DAE"/>
    <w:rsid w:val="004B60E8"/>
    <w:rsid w:val="004C1993"/>
    <w:rsid w:val="004C1E3C"/>
    <w:rsid w:val="004C494B"/>
    <w:rsid w:val="004C7E97"/>
    <w:rsid w:val="004D0CD1"/>
    <w:rsid w:val="004D2F1D"/>
    <w:rsid w:val="004D409F"/>
    <w:rsid w:val="004E1BB4"/>
    <w:rsid w:val="004E286D"/>
    <w:rsid w:val="004E3443"/>
    <w:rsid w:val="004E44C8"/>
    <w:rsid w:val="004E4504"/>
    <w:rsid w:val="004E7073"/>
    <w:rsid w:val="004E759E"/>
    <w:rsid w:val="004F2583"/>
    <w:rsid w:val="00504B82"/>
    <w:rsid w:val="00505897"/>
    <w:rsid w:val="00507D72"/>
    <w:rsid w:val="00507F6B"/>
    <w:rsid w:val="005119C9"/>
    <w:rsid w:val="00515726"/>
    <w:rsid w:val="00521010"/>
    <w:rsid w:val="00521317"/>
    <w:rsid w:val="005230C4"/>
    <w:rsid w:val="00523DBB"/>
    <w:rsid w:val="0053092E"/>
    <w:rsid w:val="00533F9B"/>
    <w:rsid w:val="005358A6"/>
    <w:rsid w:val="00536577"/>
    <w:rsid w:val="005368D8"/>
    <w:rsid w:val="00537CE3"/>
    <w:rsid w:val="005421B0"/>
    <w:rsid w:val="005440E9"/>
    <w:rsid w:val="00544F47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1880"/>
    <w:rsid w:val="0057273C"/>
    <w:rsid w:val="00573C0F"/>
    <w:rsid w:val="0057436F"/>
    <w:rsid w:val="00575B7B"/>
    <w:rsid w:val="005807F3"/>
    <w:rsid w:val="00581B1B"/>
    <w:rsid w:val="0058467D"/>
    <w:rsid w:val="00584FE9"/>
    <w:rsid w:val="00587FB4"/>
    <w:rsid w:val="005922A8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6D9E"/>
    <w:rsid w:val="005D2893"/>
    <w:rsid w:val="005D3E9E"/>
    <w:rsid w:val="005D4285"/>
    <w:rsid w:val="005D7D18"/>
    <w:rsid w:val="005E4F91"/>
    <w:rsid w:val="005E5B1F"/>
    <w:rsid w:val="005E5BFA"/>
    <w:rsid w:val="005E6467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5E9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408F8"/>
    <w:rsid w:val="0064101A"/>
    <w:rsid w:val="0064212A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63301"/>
    <w:rsid w:val="00666C78"/>
    <w:rsid w:val="00672F03"/>
    <w:rsid w:val="00673DE1"/>
    <w:rsid w:val="006753A3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B0C38"/>
    <w:rsid w:val="006B2128"/>
    <w:rsid w:val="006B64D0"/>
    <w:rsid w:val="006B7492"/>
    <w:rsid w:val="006C226C"/>
    <w:rsid w:val="006C37CF"/>
    <w:rsid w:val="006C652D"/>
    <w:rsid w:val="006C749E"/>
    <w:rsid w:val="006D1AFE"/>
    <w:rsid w:val="006D685D"/>
    <w:rsid w:val="006E05BA"/>
    <w:rsid w:val="006E4AE1"/>
    <w:rsid w:val="006E770F"/>
    <w:rsid w:val="006F331D"/>
    <w:rsid w:val="006F3459"/>
    <w:rsid w:val="006F6071"/>
    <w:rsid w:val="00703221"/>
    <w:rsid w:val="00704398"/>
    <w:rsid w:val="00710E31"/>
    <w:rsid w:val="00712004"/>
    <w:rsid w:val="0072124F"/>
    <w:rsid w:val="007213A1"/>
    <w:rsid w:val="00722318"/>
    <w:rsid w:val="007223D1"/>
    <w:rsid w:val="00724BC3"/>
    <w:rsid w:val="007277E0"/>
    <w:rsid w:val="00732A66"/>
    <w:rsid w:val="00732EE7"/>
    <w:rsid w:val="00734413"/>
    <w:rsid w:val="007355C4"/>
    <w:rsid w:val="00735893"/>
    <w:rsid w:val="007371A4"/>
    <w:rsid w:val="007407BC"/>
    <w:rsid w:val="00742144"/>
    <w:rsid w:val="00743984"/>
    <w:rsid w:val="00744D67"/>
    <w:rsid w:val="00746768"/>
    <w:rsid w:val="0075281D"/>
    <w:rsid w:val="00752E44"/>
    <w:rsid w:val="00753E13"/>
    <w:rsid w:val="0075482B"/>
    <w:rsid w:val="007554B3"/>
    <w:rsid w:val="00756F10"/>
    <w:rsid w:val="00760078"/>
    <w:rsid w:val="00761190"/>
    <w:rsid w:val="0076142F"/>
    <w:rsid w:val="007622A6"/>
    <w:rsid w:val="007657DE"/>
    <w:rsid w:val="007747CF"/>
    <w:rsid w:val="007747FA"/>
    <w:rsid w:val="00775B2D"/>
    <w:rsid w:val="007775C8"/>
    <w:rsid w:val="00780382"/>
    <w:rsid w:val="00784AB1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426C"/>
    <w:rsid w:val="007B5101"/>
    <w:rsid w:val="007B53DC"/>
    <w:rsid w:val="007B55A5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6E63"/>
    <w:rsid w:val="007E73F6"/>
    <w:rsid w:val="007F1C33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3EF7"/>
    <w:rsid w:val="00824E36"/>
    <w:rsid w:val="00826D4E"/>
    <w:rsid w:val="00830060"/>
    <w:rsid w:val="00830538"/>
    <w:rsid w:val="00830FE3"/>
    <w:rsid w:val="0083258D"/>
    <w:rsid w:val="00832C81"/>
    <w:rsid w:val="0083798F"/>
    <w:rsid w:val="00840271"/>
    <w:rsid w:val="008420FC"/>
    <w:rsid w:val="008421AF"/>
    <w:rsid w:val="0084273A"/>
    <w:rsid w:val="00843E2A"/>
    <w:rsid w:val="00844D1D"/>
    <w:rsid w:val="0084538A"/>
    <w:rsid w:val="008477C0"/>
    <w:rsid w:val="008541BB"/>
    <w:rsid w:val="00856284"/>
    <w:rsid w:val="0085644D"/>
    <w:rsid w:val="0085714B"/>
    <w:rsid w:val="00860C08"/>
    <w:rsid w:val="0086440C"/>
    <w:rsid w:val="00864D8E"/>
    <w:rsid w:val="0086576E"/>
    <w:rsid w:val="00865F5E"/>
    <w:rsid w:val="0086621B"/>
    <w:rsid w:val="008670F9"/>
    <w:rsid w:val="00870DD8"/>
    <w:rsid w:val="00873511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2F2D"/>
    <w:rsid w:val="008847E9"/>
    <w:rsid w:val="0088599E"/>
    <w:rsid w:val="00891AD2"/>
    <w:rsid w:val="00892320"/>
    <w:rsid w:val="00893D43"/>
    <w:rsid w:val="0089464E"/>
    <w:rsid w:val="00896AD9"/>
    <w:rsid w:val="008A0BF6"/>
    <w:rsid w:val="008A3EBB"/>
    <w:rsid w:val="008B10C6"/>
    <w:rsid w:val="008B19B1"/>
    <w:rsid w:val="008B7A8A"/>
    <w:rsid w:val="008C0C77"/>
    <w:rsid w:val="008C71D8"/>
    <w:rsid w:val="008C7B77"/>
    <w:rsid w:val="008C7EDD"/>
    <w:rsid w:val="008D0207"/>
    <w:rsid w:val="008D2024"/>
    <w:rsid w:val="008D27FE"/>
    <w:rsid w:val="008D48DF"/>
    <w:rsid w:val="008D577C"/>
    <w:rsid w:val="008D593B"/>
    <w:rsid w:val="008E3B84"/>
    <w:rsid w:val="00901331"/>
    <w:rsid w:val="00902DCF"/>
    <w:rsid w:val="009167C6"/>
    <w:rsid w:val="0091769E"/>
    <w:rsid w:val="009212F5"/>
    <w:rsid w:val="00923D6B"/>
    <w:rsid w:val="00924FCA"/>
    <w:rsid w:val="00932C0B"/>
    <w:rsid w:val="00932FC2"/>
    <w:rsid w:val="00933544"/>
    <w:rsid w:val="00935513"/>
    <w:rsid w:val="0094050D"/>
    <w:rsid w:val="00940F0D"/>
    <w:rsid w:val="0094304D"/>
    <w:rsid w:val="00954576"/>
    <w:rsid w:val="00955D0A"/>
    <w:rsid w:val="00956FF7"/>
    <w:rsid w:val="009574AB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270D"/>
    <w:rsid w:val="009975E5"/>
    <w:rsid w:val="00997AE8"/>
    <w:rsid w:val="009A018E"/>
    <w:rsid w:val="009A75B7"/>
    <w:rsid w:val="009B2A77"/>
    <w:rsid w:val="009B4731"/>
    <w:rsid w:val="009C08CD"/>
    <w:rsid w:val="009C190A"/>
    <w:rsid w:val="009C39BA"/>
    <w:rsid w:val="009C54BB"/>
    <w:rsid w:val="009D06C4"/>
    <w:rsid w:val="009D1466"/>
    <w:rsid w:val="009D2FBA"/>
    <w:rsid w:val="009D638D"/>
    <w:rsid w:val="009E28AE"/>
    <w:rsid w:val="009E2910"/>
    <w:rsid w:val="009E5E40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32BD"/>
    <w:rsid w:val="00A23B7C"/>
    <w:rsid w:val="00A276AF"/>
    <w:rsid w:val="00A3205E"/>
    <w:rsid w:val="00A33711"/>
    <w:rsid w:val="00A343B7"/>
    <w:rsid w:val="00A360FF"/>
    <w:rsid w:val="00A37E38"/>
    <w:rsid w:val="00A4214E"/>
    <w:rsid w:val="00A42EB1"/>
    <w:rsid w:val="00A449CB"/>
    <w:rsid w:val="00A50895"/>
    <w:rsid w:val="00A50C58"/>
    <w:rsid w:val="00A553BD"/>
    <w:rsid w:val="00A61276"/>
    <w:rsid w:val="00A612D8"/>
    <w:rsid w:val="00A62D5E"/>
    <w:rsid w:val="00A65B3F"/>
    <w:rsid w:val="00A67E64"/>
    <w:rsid w:val="00A74525"/>
    <w:rsid w:val="00A7656F"/>
    <w:rsid w:val="00A80247"/>
    <w:rsid w:val="00A81110"/>
    <w:rsid w:val="00A84222"/>
    <w:rsid w:val="00A93732"/>
    <w:rsid w:val="00A941B3"/>
    <w:rsid w:val="00A97BFA"/>
    <w:rsid w:val="00AA02BC"/>
    <w:rsid w:val="00AA1A40"/>
    <w:rsid w:val="00AA24B8"/>
    <w:rsid w:val="00AA24C0"/>
    <w:rsid w:val="00AA5E13"/>
    <w:rsid w:val="00AA6A46"/>
    <w:rsid w:val="00AA73CA"/>
    <w:rsid w:val="00AB033E"/>
    <w:rsid w:val="00AC024D"/>
    <w:rsid w:val="00AC2CC1"/>
    <w:rsid w:val="00AC6342"/>
    <w:rsid w:val="00AC7D1C"/>
    <w:rsid w:val="00AD153D"/>
    <w:rsid w:val="00AD1D21"/>
    <w:rsid w:val="00AD46A6"/>
    <w:rsid w:val="00AD5B1D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4E1E"/>
    <w:rsid w:val="00B1717D"/>
    <w:rsid w:val="00B204C7"/>
    <w:rsid w:val="00B22989"/>
    <w:rsid w:val="00B22D11"/>
    <w:rsid w:val="00B24C2B"/>
    <w:rsid w:val="00B277D3"/>
    <w:rsid w:val="00B31D41"/>
    <w:rsid w:val="00B338B3"/>
    <w:rsid w:val="00B4000A"/>
    <w:rsid w:val="00B4112B"/>
    <w:rsid w:val="00B42775"/>
    <w:rsid w:val="00B43AF0"/>
    <w:rsid w:val="00B46D93"/>
    <w:rsid w:val="00B5645D"/>
    <w:rsid w:val="00B57AB3"/>
    <w:rsid w:val="00B6586F"/>
    <w:rsid w:val="00B67573"/>
    <w:rsid w:val="00B75249"/>
    <w:rsid w:val="00B76EAA"/>
    <w:rsid w:val="00B81D7F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4814"/>
    <w:rsid w:val="00BB093D"/>
    <w:rsid w:val="00BB19BB"/>
    <w:rsid w:val="00BB4094"/>
    <w:rsid w:val="00BB4C8D"/>
    <w:rsid w:val="00BB708F"/>
    <w:rsid w:val="00BC21B1"/>
    <w:rsid w:val="00BC3AE6"/>
    <w:rsid w:val="00BD5DF1"/>
    <w:rsid w:val="00BE23F2"/>
    <w:rsid w:val="00BE722E"/>
    <w:rsid w:val="00BF1DD7"/>
    <w:rsid w:val="00BF4BBA"/>
    <w:rsid w:val="00BF5B82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DE7"/>
    <w:rsid w:val="00C15A28"/>
    <w:rsid w:val="00C200CB"/>
    <w:rsid w:val="00C203E0"/>
    <w:rsid w:val="00C21969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81738"/>
    <w:rsid w:val="00C821FD"/>
    <w:rsid w:val="00C84239"/>
    <w:rsid w:val="00C86CAA"/>
    <w:rsid w:val="00C87344"/>
    <w:rsid w:val="00C87A70"/>
    <w:rsid w:val="00C87FDA"/>
    <w:rsid w:val="00C914CD"/>
    <w:rsid w:val="00C95C8F"/>
    <w:rsid w:val="00CA233D"/>
    <w:rsid w:val="00CA2B80"/>
    <w:rsid w:val="00CA409D"/>
    <w:rsid w:val="00CA462A"/>
    <w:rsid w:val="00CA494E"/>
    <w:rsid w:val="00CA68AB"/>
    <w:rsid w:val="00CA6EF3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544F"/>
    <w:rsid w:val="00CE59ED"/>
    <w:rsid w:val="00CE70B7"/>
    <w:rsid w:val="00CE7673"/>
    <w:rsid w:val="00CF2FB0"/>
    <w:rsid w:val="00CF3BB9"/>
    <w:rsid w:val="00CF497B"/>
    <w:rsid w:val="00CF4ED8"/>
    <w:rsid w:val="00CF7364"/>
    <w:rsid w:val="00CF7728"/>
    <w:rsid w:val="00CF7A31"/>
    <w:rsid w:val="00D03413"/>
    <w:rsid w:val="00D07E65"/>
    <w:rsid w:val="00D12A12"/>
    <w:rsid w:val="00D162D9"/>
    <w:rsid w:val="00D20E8E"/>
    <w:rsid w:val="00D22A24"/>
    <w:rsid w:val="00D24C2F"/>
    <w:rsid w:val="00D25591"/>
    <w:rsid w:val="00D305CC"/>
    <w:rsid w:val="00D30A96"/>
    <w:rsid w:val="00D31746"/>
    <w:rsid w:val="00D33B74"/>
    <w:rsid w:val="00D33D1C"/>
    <w:rsid w:val="00D354E8"/>
    <w:rsid w:val="00D361B2"/>
    <w:rsid w:val="00D366C4"/>
    <w:rsid w:val="00D36CCC"/>
    <w:rsid w:val="00D42458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624D2"/>
    <w:rsid w:val="00D63791"/>
    <w:rsid w:val="00D63C56"/>
    <w:rsid w:val="00D65B00"/>
    <w:rsid w:val="00D66B6A"/>
    <w:rsid w:val="00D67408"/>
    <w:rsid w:val="00D70536"/>
    <w:rsid w:val="00D715FE"/>
    <w:rsid w:val="00D759DD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A02B4"/>
    <w:rsid w:val="00DA1297"/>
    <w:rsid w:val="00DA525A"/>
    <w:rsid w:val="00DA5938"/>
    <w:rsid w:val="00DB632D"/>
    <w:rsid w:val="00DC2929"/>
    <w:rsid w:val="00DC5191"/>
    <w:rsid w:val="00DC6137"/>
    <w:rsid w:val="00DC6E33"/>
    <w:rsid w:val="00DD1175"/>
    <w:rsid w:val="00DD71AC"/>
    <w:rsid w:val="00DE002A"/>
    <w:rsid w:val="00DE35D2"/>
    <w:rsid w:val="00DE52D3"/>
    <w:rsid w:val="00DE5369"/>
    <w:rsid w:val="00DE64FA"/>
    <w:rsid w:val="00DF320F"/>
    <w:rsid w:val="00DF5BFB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32833"/>
    <w:rsid w:val="00E329E2"/>
    <w:rsid w:val="00E34EB1"/>
    <w:rsid w:val="00E40F98"/>
    <w:rsid w:val="00E43F1B"/>
    <w:rsid w:val="00E46121"/>
    <w:rsid w:val="00E46D45"/>
    <w:rsid w:val="00E51EAF"/>
    <w:rsid w:val="00E608C4"/>
    <w:rsid w:val="00E6172E"/>
    <w:rsid w:val="00E641DE"/>
    <w:rsid w:val="00E64D0B"/>
    <w:rsid w:val="00E64FE2"/>
    <w:rsid w:val="00E65FBD"/>
    <w:rsid w:val="00E73C54"/>
    <w:rsid w:val="00E773FC"/>
    <w:rsid w:val="00E8059B"/>
    <w:rsid w:val="00E841C3"/>
    <w:rsid w:val="00E851DD"/>
    <w:rsid w:val="00E85E18"/>
    <w:rsid w:val="00E8667A"/>
    <w:rsid w:val="00E86DB8"/>
    <w:rsid w:val="00E90B9B"/>
    <w:rsid w:val="00E91E1F"/>
    <w:rsid w:val="00E94314"/>
    <w:rsid w:val="00EB4140"/>
    <w:rsid w:val="00EB4FA6"/>
    <w:rsid w:val="00EC0614"/>
    <w:rsid w:val="00EC26FE"/>
    <w:rsid w:val="00ED5E4D"/>
    <w:rsid w:val="00ED758A"/>
    <w:rsid w:val="00EE5038"/>
    <w:rsid w:val="00EF16AB"/>
    <w:rsid w:val="00EF5015"/>
    <w:rsid w:val="00EF596D"/>
    <w:rsid w:val="00F017D7"/>
    <w:rsid w:val="00F02916"/>
    <w:rsid w:val="00F0325D"/>
    <w:rsid w:val="00F03765"/>
    <w:rsid w:val="00F051A1"/>
    <w:rsid w:val="00F12897"/>
    <w:rsid w:val="00F12F31"/>
    <w:rsid w:val="00F21922"/>
    <w:rsid w:val="00F22A42"/>
    <w:rsid w:val="00F27960"/>
    <w:rsid w:val="00F31578"/>
    <w:rsid w:val="00F3693D"/>
    <w:rsid w:val="00F429F9"/>
    <w:rsid w:val="00F42AE8"/>
    <w:rsid w:val="00F432DD"/>
    <w:rsid w:val="00F436A5"/>
    <w:rsid w:val="00F444FF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71EF"/>
    <w:rsid w:val="00F71DA8"/>
    <w:rsid w:val="00F72CC7"/>
    <w:rsid w:val="00F73E94"/>
    <w:rsid w:val="00F7537B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35E4"/>
    <w:rsid w:val="00FC4A93"/>
    <w:rsid w:val="00FD1979"/>
    <w:rsid w:val="00FD1F71"/>
    <w:rsid w:val="00FD2DF5"/>
    <w:rsid w:val="00FD64FA"/>
    <w:rsid w:val="00FD6689"/>
    <w:rsid w:val="00FE101B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_graf__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srpen%20EU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Vývoj početních stavů krav dle kategorií v kusech ke dni 1. 4. příslušného kalendářního roku                                 (Pramen: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List1!$K$4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6.4146983748428449E-2"/>
                  <c:y val="3.5847524984928082E-2"/>
                </c:manualLayout>
              </c:layout>
              <c:showVal val="1"/>
            </c:dLbl>
            <c:dLbl>
              <c:idx val="2"/>
              <c:layout>
                <c:manualLayout>
                  <c:x val="-6.6876642631339578E-2"/>
                  <c:y val="2.3195457343188342E-2"/>
                </c:manualLayout>
              </c:layout>
              <c:showVal val="1"/>
            </c:dLbl>
            <c:dLbl>
              <c:idx val="3"/>
              <c:layout>
                <c:manualLayout>
                  <c:x val="-6.8241472072795475E-2"/>
                  <c:y val="1.897810146260908E-2"/>
                </c:manualLayout>
              </c:layout>
              <c:showVal val="1"/>
            </c:dLbl>
            <c:dLbl>
              <c:idx val="4"/>
              <c:layout>
                <c:manualLayout>
                  <c:x val="-6.6876750098224733E-2"/>
                  <c:y val="2.3195457343188342E-2"/>
                </c:manualLayout>
              </c:layout>
              <c:showVal val="1"/>
            </c:dLbl>
            <c:dLbl>
              <c:idx val="5"/>
              <c:layout>
                <c:manualLayout>
                  <c:x val="-5.8687665982604074E-2"/>
                  <c:y val="2.5304135283478652E-2"/>
                </c:manualLayout>
              </c:layout>
              <c:showVal val="1"/>
            </c:dLbl>
            <c:dLbl>
              <c:idx val="6"/>
              <c:layout>
                <c:manualLayout>
                  <c:x val="-4.2309712685133324E-2"/>
                  <c:y val="3.5847524984928082E-2"/>
                </c:manualLayout>
              </c:layout>
              <c:showVal val="1"/>
            </c:dLbl>
            <c:dLbl>
              <c:idx val="7"/>
              <c:layout>
                <c:manualLayout>
                  <c:x val="-4.5039371568045022E-2"/>
                  <c:y val="3.3738847044638066E-2"/>
                </c:manualLayout>
              </c:layout>
              <c:showVal val="1"/>
            </c:dLbl>
            <c:dLbl>
              <c:idx val="8"/>
              <c:layout>
                <c:manualLayout>
                  <c:x val="-5.0498689333869133E-2"/>
                  <c:y val="3.7956202925218153E-2"/>
                </c:manualLayout>
              </c:layout>
              <c:showVal val="1"/>
            </c:dLbl>
            <c:dLbl>
              <c:idx val="9"/>
              <c:layout>
                <c:manualLayout>
                  <c:x val="-5.3228348216779943E-2"/>
                  <c:y val="3.7956202925218153E-2"/>
                </c:manualLayout>
              </c:layout>
              <c:showVal val="1"/>
            </c:dLbl>
            <c:dLbl>
              <c:idx val="10"/>
              <c:layout>
                <c:manualLayout>
                  <c:x val="-5.4593285125122369E-2"/>
                  <c:y val="3.1630169104348196E-2"/>
                </c:manualLayout>
              </c:layout>
              <c:showVal val="1"/>
            </c:dLbl>
            <c:dLbl>
              <c:idx val="11"/>
              <c:layout>
                <c:manualLayout>
                  <c:x val="-5.1863518775324566E-2"/>
                  <c:y val="4.8499592626667212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List1!$K$5:$K$16</c:f>
              <c:numCache>
                <c:formatCode>#,##0</c:formatCode>
                <c:ptCount val="12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</c:numCache>
            </c:numRef>
          </c:val>
        </c:ser>
        <c:ser>
          <c:idx val="1"/>
          <c:order val="1"/>
          <c:tx>
            <c:strRef>
              <c:f>List1!$L$4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-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4.7769030450957421E-2"/>
                  <c:y val="-4.2173558805797567E-2"/>
                </c:manualLayout>
              </c:layout>
              <c:showVal val="1"/>
            </c:dLbl>
            <c:dLbl>
              <c:idx val="2"/>
              <c:layout>
                <c:manualLayout>
                  <c:x val="-5.3228348216779943E-2"/>
                  <c:y val="-3.7956202925218153E-2"/>
                </c:manualLayout>
              </c:layout>
              <c:showVal val="1"/>
            </c:dLbl>
            <c:dLbl>
              <c:idx val="3"/>
              <c:layout>
                <c:manualLayout>
                  <c:x val="-5.1863518775324566E-2"/>
                  <c:y val="-2.9521491164058177E-2"/>
                </c:manualLayout>
              </c:layout>
              <c:showVal val="1"/>
            </c:dLbl>
            <c:dLbl>
              <c:idx val="4"/>
              <c:layout>
                <c:manualLayout>
                  <c:x val="-5.4593285125122404E-2"/>
                  <c:y val="-4.2173558805797567E-2"/>
                </c:manualLayout>
              </c:layout>
              <c:showVal val="1"/>
            </c:dLbl>
            <c:dLbl>
              <c:idx val="5"/>
              <c:layout>
                <c:manualLayout>
                  <c:x val="-6.1417324865516737E-2"/>
                  <c:y val="-5.2716948507247591E-2"/>
                </c:manualLayout>
              </c:layout>
              <c:showVal val="1"/>
            </c:dLbl>
            <c:dLbl>
              <c:idx val="6"/>
              <c:layout>
                <c:manualLayout>
                  <c:x val="-4.9133859892412833E-2"/>
                  <c:y val="-4.0064880865507822E-2"/>
                </c:manualLayout>
              </c:layout>
              <c:showVal val="1"/>
            </c:dLbl>
            <c:dLbl>
              <c:idx val="7"/>
              <c:layout>
                <c:manualLayout>
                  <c:x val="-5.4593177658237325E-2"/>
                  <c:y val="-3.584769102256135E-2"/>
                </c:manualLayout>
              </c:layout>
              <c:showVal val="1"/>
            </c:dLbl>
            <c:dLbl>
              <c:idx val="8"/>
              <c:layout>
                <c:manualLayout>
                  <c:x val="-6.5511813189883694E-2"/>
                  <c:y val="-3.3739013082271549E-2"/>
                </c:manualLayout>
              </c:layout>
              <c:showVal val="1"/>
            </c:dLbl>
            <c:dLbl>
              <c:idx val="9"/>
              <c:layout>
                <c:manualLayout>
                  <c:x val="-5.4593177658237325E-2"/>
                  <c:y val="-4.2173724843431681E-2"/>
                </c:manualLayout>
              </c:layout>
              <c:showVal val="1"/>
            </c:dLbl>
            <c:dLbl>
              <c:idx val="10"/>
              <c:layout>
                <c:manualLayout>
                  <c:x val="-5.1863626242210387E-2"/>
                  <c:y val="-4.4282402783720538E-2"/>
                </c:manualLayout>
              </c:layout>
              <c:showVal val="1"/>
            </c:dLbl>
            <c:dLbl>
              <c:idx val="11"/>
              <c:layout>
                <c:manualLayout>
                  <c:x val="-4.0944883243677295E-2"/>
                  <c:y val="-5.9043148365749677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List1!$L$5:$L$16</c:f>
              <c:numCache>
                <c:formatCode>#,##0</c:formatCode>
                <c:ptCount val="12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</c:numCache>
            </c:numRef>
          </c:val>
        </c:ser>
        <c:marker val="1"/>
        <c:axId val="110656896"/>
        <c:axId val="110670976"/>
      </c:lineChart>
      <c:catAx>
        <c:axId val="110656896"/>
        <c:scaling>
          <c:orientation val="minMax"/>
        </c:scaling>
        <c:axPos val="b"/>
        <c:numFmt formatCode="General" sourceLinked="1"/>
        <c:tickLblPos val="nextTo"/>
        <c:crossAx val="110670976"/>
        <c:crosses val="autoZero"/>
        <c:auto val="1"/>
        <c:lblAlgn val="ctr"/>
        <c:lblOffset val="100"/>
      </c:catAx>
      <c:valAx>
        <c:axId val="110670976"/>
        <c:scaling>
          <c:orientation val="minMax"/>
          <c:max val="600000"/>
          <c:min val="50000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10656896"/>
        <c:crosses val="autoZero"/>
        <c:crossBetween val="between"/>
      </c:valAx>
      <c:spPr>
        <a:solidFill>
          <a:schemeClr val="bg1"/>
        </a:solidFill>
        <a:ln w="25400">
          <a:solidFill>
            <a:sysClr val="windowText" lastClr="000000"/>
          </a:solidFill>
        </a:ln>
      </c:spPr>
    </c:plotArea>
    <c:legend>
      <c:legendPos val="b"/>
    </c:legend>
    <c:plotVisOnly val="1"/>
  </c:chart>
  <c:spPr>
    <a:solidFill>
      <a:schemeClr val="accent5">
        <a:lumMod val="20000"/>
        <a:lumOff val="80000"/>
      </a:schemeClr>
    </a:solidFill>
    <a:ln>
      <a:solidFill>
        <a:schemeClr val="tx1"/>
      </a:solidFill>
    </a:ln>
  </c:spPr>
  <c:txPr>
    <a:bodyPr/>
    <a:lstStyle/>
    <a:p>
      <a:pPr>
        <a:defRPr sz="800" baseline="0"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800"/>
            </a:pPr>
            <a:r>
              <a:rPr lang="en-US" sz="700"/>
              <a:t>Vývoj CZV mléka I.tř.jak. a vývoj CPV a SC polotučného trvanlivého mléka</a:t>
            </a:r>
            <a:r>
              <a:rPr lang="cs-CZ" sz="700"/>
              <a:t> </a:t>
            </a:r>
            <a:r>
              <a:rPr lang="en-US" sz="700"/>
              <a:t> (Pramen: rezortní statistika Mlék (MZe) 6 - 12, ČSÚ)</a:t>
            </a:r>
          </a:p>
        </c:rich>
      </c:tx>
      <c:layout>
        <c:manualLayout>
          <c:xMode val="edge"/>
          <c:yMode val="edge"/>
          <c:x val="0.1350915750915751"/>
          <c:y val="2.2315202231520236E-2"/>
        </c:manualLayout>
      </c:layout>
    </c:title>
    <c:plotArea>
      <c:layout>
        <c:manualLayout>
          <c:layoutTarget val="inner"/>
          <c:xMode val="edge"/>
          <c:yMode val="edge"/>
          <c:x val="8.8807427733100366E-2"/>
          <c:y val="0.16117418377096171"/>
          <c:w val="0.8140760923171676"/>
          <c:h val="0.63433729779593451"/>
        </c:manualLayout>
      </c:layout>
      <c:lineChart>
        <c:grouping val="standard"/>
        <c:ser>
          <c:idx val="0"/>
          <c:order val="0"/>
          <c:tx>
            <c:strRef>
              <c:f>List1!$H$136</c:f>
              <c:strCache>
                <c:ptCount val="1"/>
                <c:pt idx="0">
                  <c:v>CZV</c:v>
                </c:pt>
              </c:strCache>
            </c:strRef>
          </c:tx>
          <c:marker>
            <c:symbol val="diamond"/>
            <c:size val="3"/>
          </c:marker>
          <c:cat>
            <c:strRef>
              <c:f>List1!$G$137:$G$254</c:f>
              <c:strCache>
                <c:ptCount val="118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</c:strCache>
            </c:strRef>
          </c:cat>
          <c:val>
            <c:numRef>
              <c:f>List1!$H$137:$H$254</c:f>
              <c:numCache>
                <c:formatCode>General</c:formatCode>
                <c:ptCount val="118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8.350000000000005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8.2200000000000006</c:v>
                </c:pt>
                <c:pt idx="43">
                  <c:v>8.26</c:v>
                </c:pt>
                <c:pt idx="44">
                  <c:v>8.2200000000000006</c:v>
                </c:pt>
                <c:pt idx="45">
                  <c:v>8.2200000000000006</c:v>
                </c:pt>
                <c:pt idx="46">
                  <c:v>8.2200000000000006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7.6199999999999974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8.2200000000000006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8.350000000000005</c:v>
                </c:pt>
              </c:numCache>
            </c:numRef>
          </c:val>
        </c:ser>
        <c:ser>
          <c:idx val="1"/>
          <c:order val="1"/>
          <c:tx>
            <c:strRef>
              <c:f>List1!$I$136</c:f>
              <c:strCache>
                <c:ptCount val="1"/>
                <c:pt idx="0">
                  <c:v>CPV</c:v>
                </c:pt>
              </c:strCache>
            </c:strRef>
          </c:tx>
          <c:marker>
            <c:symbol val="square"/>
            <c:size val="3"/>
          </c:marker>
          <c:cat>
            <c:strRef>
              <c:f>List1!$G$137:$G$254</c:f>
              <c:strCache>
                <c:ptCount val="118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</c:strCache>
            </c:strRef>
          </c:cat>
          <c:val>
            <c:numRef>
              <c:f>List1!$I$137:$I$254</c:f>
              <c:numCache>
                <c:formatCode>General</c:formatCode>
                <c:ptCount val="118"/>
                <c:pt idx="0">
                  <c:v>11.9</c:v>
                </c:pt>
                <c:pt idx="1">
                  <c:v>11.9</c:v>
                </c:pt>
                <c:pt idx="2">
                  <c:v>11.860000000000005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10.350000000000005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10.860000000000005</c:v>
                </c:pt>
                <c:pt idx="31">
                  <c:v>10.860000000000005</c:v>
                </c:pt>
                <c:pt idx="32">
                  <c:v>10.860000000000005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10.450000000000005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10.370000000000005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10.350000000000005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</c:numCache>
            </c:numRef>
          </c:val>
        </c:ser>
        <c:ser>
          <c:idx val="2"/>
          <c:order val="2"/>
          <c:tx>
            <c:strRef>
              <c:f>List1!$J$136</c:f>
              <c:strCache>
                <c:ptCount val="1"/>
                <c:pt idx="0">
                  <c:v>SC</c:v>
                </c:pt>
              </c:strCache>
            </c:strRef>
          </c:tx>
          <c:marker>
            <c:symbol val="triangle"/>
            <c:size val="3"/>
          </c:marker>
          <c:cat>
            <c:strRef>
              <c:f>List1!$G$137:$G$254</c:f>
              <c:strCache>
                <c:ptCount val="118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</c:strCache>
            </c:strRef>
          </c:cat>
          <c:val>
            <c:numRef>
              <c:f>List1!$J$137:$J$254</c:f>
              <c:numCache>
                <c:formatCode>General</c:formatCode>
                <c:ptCount val="118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13.370000000000005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12.950000000000005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13.870000000000005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16.45999999999999</c:v>
                </c:pt>
                <c:pt idx="79">
                  <c:v>16.8</c:v>
                </c:pt>
                <c:pt idx="80">
                  <c:v>16.77999999999999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16.45999999999999</c:v>
                </c:pt>
                <c:pt idx="112">
                  <c:v>16.77999999999999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</c:numCache>
            </c:numRef>
          </c:val>
        </c:ser>
        <c:marker val="1"/>
        <c:axId val="110647936"/>
        <c:axId val="111653248"/>
      </c:lineChart>
      <c:catAx>
        <c:axId val="110647936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1653248"/>
        <c:crosses val="autoZero"/>
        <c:auto val="1"/>
        <c:lblAlgn val="ctr"/>
        <c:lblOffset val="100"/>
      </c:catAx>
      <c:valAx>
        <c:axId val="111653248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10647936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518"/>
          <c:y val="0.88652100305643622"/>
          <c:w val="0.51678217131677007"/>
          <c:h val="7.1947370215086764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Ceny mléka v EU-27 v měsíci </a:t>
            </a:r>
            <a:r>
              <a:rPr lang="cs-CZ" sz="800"/>
              <a:t>srpnu</a:t>
            </a:r>
            <a:r>
              <a:rPr lang="en-US" sz="800"/>
              <a:t> 2010 a 2011 </a:t>
            </a:r>
            <a:r>
              <a:rPr lang="cs-CZ" sz="800"/>
              <a:t>              </a:t>
            </a:r>
            <a:r>
              <a:rPr lang="en-US" sz="500"/>
              <a:t>(Pramen: Evropská komise , Milk Market Situation, 2</a:t>
            </a:r>
            <a:r>
              <a:rPr lang="cs-CZ" sz="500"/>
              <a:t>2</a:t>
            </a:r>
            <a:r>
              <a:rPr lang="en-US" sz="500"/>
              <a:t> </a:t>
            </a:r>
            <a:r>
              <a:rPr lang="cs-CZ" sz="500"/>
              <a:t>September</a:t>
            </a:r>
            <a:r>
              <a:rPr lang="en-US" sz="500"/>
              <a:t> </a:t>
            </a:r>
            <a:r>
              <a:rPr lang="cs-CZ" sz="500"/>
              <a:t> </a:t>
            </a:r>
            <a:r>
              <a:rPr lang="en-US" sz="500"/>
              <a:t>2011)</a:t>
            </a:r>
          </a:p>
        </c:rich>
      </c:tx>
      <c:layout>
        <c:manualLayout>
          <c:xMode val="edge"/>
          <c:yMode val="edge"/>
          <c:x val="0.22838753851420746"/>
          <c:y val="0"/>
        </c:manualLayout>
      </c:layout>
    </c:title>
    <c:plotArea>
      <c:layout>
        <c:manualLayout>
          <c:layoutTarget val="inner"/>
          <c:xMode val="edge"/>
          <c:yMode val="edge"/>
          <c:x val="0.14021708683473544"/>
          <c:y val="0.12602973364791495"/>
          <c:w val="0.85140218342272356"/>
          <c:h val="0.63486132825454833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Nizozemsko</c:v>
                </c:pt>
                <c:pt idx="7">
                  <c:v>Dánsko</c:v>
                </c:pt>
                <c:pt idx="8">
                  <c:v>Francie</c:v>
                </c:pt>
                <c:pt idx="9">
                  <c:v>Německo</c:v>
                </c:pt>
                <c:pt idx="10">
                  <c:v>Rakousko</c:v>
                </c:pt>
                <c:pt idx="11">
                  <c:v>Irsko</c:v>
                </c:pt>
                <c:pt idx="12">
                  <c:v>Vážený průměr EU-27</c:v>
                </c:pt>
                <c:pt idx="13">
                  <c:v>Česká republika</c:v>
                </c:pt>
                <c:pt idx="14">
                  <c:v>Lucembursko</c:v>
                </c:pt>
                <c:pt idx="15">
                  <c:v>Estonsko</c:v>
                </c:pt>
                <c:pt idx="16">
                  <c:v>Belgie</c:v>
                </c:pt>
                <c:pt idx="17">
                  <c:v>Bulharsko</c:v>
                </c:pt>
                <c:pt idx="18">
                  <c:v>Slovensko</c:v>
                </c:pt>
                <c:pt idx="19">
                  <c:v>Maďarsko</c:v>
                </c:pt>
                <c:pt idx="20">
                  <c:v>Španělsko</c:v>
                </c:pt>
                <c:pt idx="21">
                  <c:v>Spojené království</c:v>
                </c:pt>
                <c:pt idx="22">
                  <c:v>Portugalsko</c:v>
                </c:pt>
                <c:pt idx="23">
                  <c:v>Slovinsko</c:v>
                </c:pt>
                <c:pt idx="24">
                  <c:v>Polsko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51.37</c:v>
                </c:pt>
                <c:pt idx="1">
                  <c:v>41.82</c:v>
                </c:pt>
                <c:pt idx="2" formatCode="0.00">
                  <c:v>41.67</c:v>
                </c:pt>
                <c:pt idx="3">
                  <c:v>36.790000000000013</c:v>
                </c:pt>
                <c:pt idx="4" formatCode="0.00">
                  <c:v>35.97</c:v>
                </c:pt>
                <c:pt idx="5" formatCode="0.00">
                  <c:v>35.11</c:v>
                </c:pt>
                <c:pt idx="6" formatCode="0.00">
                  <c:v>33.75</c:v>
                </c:pt>
                <c:pt idx="7" formatCode="0.00">
                  <c:v>32.21</c:v>
                </c:pt>
                <c:pt idx="8" formatCode="0.00">
                  <c:v>33.97</c:v>
                </c:pt>
                <c:pt idx="9" formatCode="0.00">
                  <c:v>31.84</c:v>
                </c:pt>
                <c:pt idx="10" formatCode="0.00">
                  <c:v>31.88</c:v>
                </c:pt>
                <c:pt idx="11" formatCode="0.00">
                  <c:v>31.919999999999987</c:v>
                </c:pt>
                <c:pt idx="12" formatCode="0.00">
                  <c:v>31.7</c:v>
                </c:pt>
                <c:pt idx="13">
                  <c:v>28.130000000000031</c:v>
                </c:pt>
                <c:pt idx="14" formatCode="0.00">
                  <c:v>29.91</c:v>
                </c:pt>
                <c:pt idx="15" formatCode="0.00">
                  <c:v>27.58</c:v>
                </c:pt>
                <c:pt idx="16" formatCode="0.00">
                  <c:v>31.130000000000031</c:v>
                </c:pt>
                <c:pt idx="17" formatCode="0.00">
                  <c:v>26.830000000000005</c:v>
                </c:pt>
                <c:pt idx="18" formatCode="0.00">
                  <c:v>26.959999999999987</c:v>
                </c:pt>
                <c:pt idx="19" formatCode="0.00">
                  <c:v>25.310000000000031</c:v>
                </c:pt>
                <c:pt idx="20" formatCode="0.00">
                  <c:v>28.64</c:v>
                </c:pt>
                <c:pt idx="21" formatCode="0.00">
                  <c:v>29.110000000000031</c:v>
                </c:pt>
                <c:pt idx="22" formatCode="0.00">
                  <c:v>27.5</c:v>
                </c:pt>
                <c:pt idx="23" formatCode="0.00">
                  <c:v>26.610000000000031</c:v>
                </c:pt>
                <c:pt idx="24" formatCode="0.00">
                  <c:v>27.19</c:v>
                </c:pt>
                <c:pt idx="25" formatCode="0.00">
                  <c:v>24.419999999999987</c:v>
                </c:pt>
                <c:pt idx="26" formatCode="0.00">
                  <c:v>21.17</c:v>
                </c:pt>
                <c:pt idx="27" formatCode="0.00">
                  <c:v>22.87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2011</c:v>
                </c:pt>
              </c:strCache>
            </c:strRef>
          </c:tx>
          <c:dPt>
            <c:idx val="10"/>
            <c:spPr>
              <a:solidFill>
                <a:schemeClr val="accent2">
                  <a:lumMod val="50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 sz="500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Nizozemsko</c:v>
                </c:pt>
                <c:pt idx="7">
                  <c:v>Dánsko</c:v>
                </c:pt>
                <c:pt idx="8">
                  <c:v>Francie</c:v>
                </c:pt>
                <c:pt idx="9">
                  <c:v>Německo</c:v>
                </c:pt>
                <c:pt idx="10">
                  <c:v>Rakousko</c:v>
                </c:pt>
                <c:pt idx="11">
                  <c:v>Irsko</c:v>
                </c:pt>
                <c:pt idx="12">
                  <c:v>Vážený průměr EU-27</c:v>
                </c:pt>
                <c:pt idx="13">
                  <c:v>Česká republika</c:v>
                </c:pt>
                <c:pt idx="14">
                  <c:v>Lucembursko</c:v>
                </c:pt>
                <c:pt idx="15">
                  <c:v>Estonsko</c:v>
                </c:pt>
                <c:pt idx="16">
                  <c:v>Belgie</c:v>
                </c:pt>
                <c:pt idx="17">
                  <c:v>Bulharsko</c:v>
                </c:pt>
                <c:pt idx="18">
                  <c:v>Slovensko</c:v>
                </c:pt>
                <c:pt idx="19">
                  <c:v>Maďarsko</c:v>
                </c:pt>
                <c:pt idx="20">
                  <c:v>Španělsko</c:v>
                </c:pt>
                <c:pt idx="21">
                  <c:v>Spojené království</c:v>
                </c:pt>
                <c:pt idx="22">
                  <c:v>Portugalsko</c:v>
                </c:pt>
                <c:pt idx="23">
                  <c:v>Slovinsko</c:v>
                </c:pt>
                <c:pt idx="24">
                  <c:v>Polsko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50.91</c:v>
                </c:pt>
                <c:pt idx="1">
                  <c:v>48.9</c:v>
                </c:pt>
                <c:pt idx="2" formatCode="0.00">
                  <c:v>45.660000000000011</c:v>
                </c:pt>
                <c:pt idx="3" formatCode="0.00">
                  <c:v>44.309999999999995</c:v>
                </c:pt>
                <c:pt idx="4" formatCode="0.00">
                  <c:v>38.800000000000004</c:v>
                </c:pt>
                <c:pt idx="5" formatCode="0.00">
                  <c:v>37.410000000000004</c:v>
                </c:pt>
                <c:pt idx="6" formatCode="0.00">
                  <c:v>37.25</c:v>
                </c:pt>
                <c:pt idx="7" formatCode="0.00">
                  <c:v>36.5</c:v>
                </c:pt>
                <c:pt idx="8" formatCode="0.00">
                  <c:v>35.58</c:v>
                </c:pt>
                <c:pt idx="9" formatCode="0.00">
                  <c:v>34.809999999999995</c:v>
                </c:pt>
                <c:pt idx="10" formatCode="0.00">
                  <c:v>34.6</c:v>
                </c:pt>
                <c:pt idx="11" formatCode="0.00">
                  <c:v>34.57</c:v>
                </c:pt>
                <c:pt idx="12">
                  <c:v>34.4</c:v>
                </c:pt>
                <c:pt idx="13" formatCode="0.00">
                  <c:v>33.160000000000011</c:v>
                </c:pt>
                <c:pt idx="14" formatCode="0.00">
                  <c:v>32.730000000000011</c:v>
                </c:pt>
                <c:pt idx="15" formatCode="0.00">
                  <c:v>32.49</c:v>
                </c:pt>
                <c:pt idx="16" formatCode="0.00">
                  <c:v>32.349999999999994</c:v>
                </c:pt>
                <c:pt idx="17" formatCode="0.00">
                  <c:v>32.200000000000003</c:v>
                </c:pt>
                <c:pt idx="18" formatCode="0.00">
                  <c:v>31.58</c:v>
                </c:pt>
                <c:pt idx="19" formatCode="0.00">
                  <c:v>31.130000000000031</c:v>
                </c:pt>
                <c:pt idx="20" formatCode="0.00">
                  <c:v>30.87</c:v>
                </c:pt>
                <c:pt idx="21" formatCode="0.00">
                  <c:v>30.54</c:v>
                </c:pt>
                <c:pt idx="22" formatCode="0.00">
                  <c:v>30.51</c:v>
                </c:pt>
                <c:pt idx="23" formatCode="0.00">
                  <c:v>30.24</c:v>
                </c:pt>
                <c:pt idx="24" formatCode="0.00">
                  <c:v>29.130000000000031</c:v>
                </c:pt>
                <c:pt idx="25" formatCode="0.00">
                  <c:v>28.67</c:v>
                </c:pt>
                <c:pt idx="26">
                  <c:v>27.05</c:v>
                </c:pt>
                <c:pt idx="27" formatCode="0.00">
                  <c:v>26.23</c:v>
                </c:pt>
              </c:numCache>
            </c:numRef>
          </c:val>
        </c:ser>
        <c:axId val="112073344"/>
        <c:axId val="112075136"/>
      </c:barChart>
      <c:catAx>
        <c:axId val="1120733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600"/>
            </a:pPr>
            <a:endParaRPr lang="cs-CZ"/>
          </a:p>
        </c:txPr>
        <c:crossAx val="112075136"/>
        <c:crosses val="autoZero"/>
        <c:auto val="1"/>
        <c:lblAlgn val="ctr"/>
        <c:lblOffset val="100"/>
      </c:catAx>
      <c:valAx>
        <c:axId val="112075136"/>
        <c:scaling>
          <c:orientation val="minMax"/>
          <c:min val="1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700" baseline="0"/>
                </a:pPr>
                <a:r>
                  <a:rPr lang="en-US" sz="700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2073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731188112614943"/>
          <c:y val="0.95997484760887075"/>
          <c:w val="0.31280823996265689"/>
          <c:h val="3.5339189098690452E-2"/>
        </c:manualLayout>
      </c:layout>
      <c:txPr>
        <a:bodyPr/>
        <a:lstStyle/>
        <a:p>
          <a:pPr>
            <a:defRPr sz="700"/>
          </a:pPr>
          <a:endParaRPr lang="cs-CZ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List1!$G$41:$G$130</c:f>
              <c:numCache>
                <c:formatCode>mmm/yy</c:formatCode>
                <c:ptCount val="90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</c:numCache>
            </c:numRef>
          </c:cat>
          <c:val>
            <c:numRef>
              <c:f>List1!$H$41:$H$130</c:f>
              <c:numCache>
                <c:formatCode>General</c:formatCode>
                <c:ptCount val="90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38436</c:v>
                </c:pt>
              </c:numCache>
            </c:numRef>
          </c:val>
        </c:ser>
        <c:axId val="112108672"/>
        <c:axId val="112110208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List1!$G$41:$G$130</c:f>
              <c:numCache>
                <c:formatCode>mmm/yy</c:formatCode>
                <c:ptCount val="90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</c:numCache>
            </c:numRef>
          </c:cat>
          <c:val>
            <c:numRef>
              <c:f>List1!$I$41:$I$130</c:f>
              <c:numCache>
                <c:formatCode>General</c:formatCode>
                <c:ptCount val="90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8.850000000000005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8.2200000000000006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</c:numCache>
            </c:numRef>
          </c:val>
        </c:ser>
        <c:marker val="1"/>
        <c:axId val="112122496"/>
        <c:axId val="112120576"/>
      </c:lineChart>
      <c:dateAx>
        <c:axId val="112108672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800" baseline="0"/>
            </a:pPr>
            <a:endParaRPr lang="cs-CZ"/>
          </a:p>
        </c:txPr>
        <c:crossAx val="112110208"/>
        <c:crosses val="autoZero"/>
        <c:auto val="1"/>
        <c:lblOffset val="100"/>
      </c:dateAx>
      <c:valAx>
        <c:axId val="112110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112108672"/>
        <c:crosses val="autoZero"/>
        <c:crossBetween val="between"/>
      </c:valAx>
      <c:valAx>
        <c:axId val="112120576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112122496"/>
        <c:crosses val="max"/>
        <c:crossBetween val="between"/>
      </c:valAx>
      <c:dateAx>
        <c:axId val="112122496"/>
        <c:scaling>
          <c:orientation val="minMax"/>
        </c:scaling>
        <c:delete val="1"/>
        <c:axPos val="b"/>
        <c:numFmt formatCode="mmm/yy" sourceLinked="1"/>
        <c:tickLblPos val="none"/>
        <c:crossAx val="112120576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AE11-9205-4058-8D5F-57ABA7B2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2011-12-09T13:00:00Z</cp:lastPrinted>
  <dcterms:created xsi:type="dcterms:W3CDTF">2011-12-15T09:54:00Z</dcterms:created>
  <dcterms:modified xsi:type="dcterms:W3CDTF">2011-12-15T09:54:00Z</dcterms:modified>
</cp:coreProperties>
</file>