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59D" w:rsidRDefault="001E359D" w:rsidP="001E359D">
      <w:pPr>
        <w:pStyle w:val="tabulka"/>
        <w:numPr>
          <w:ilvl w:val="0"/>
          <w:numId w:val="0"/>
        </w:numPr>
      </w:pPr>
      <w:r>
        <w:t xml:space="preserve">Tabulka vymezení zranitelných oblastí </w:t>
      </w:r>
    </w:p>
    <w:tbl>
      <w:tblPr>
        <w:tblW w:w="91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1161"/>
        <w:gridCol w:w="1276"/>
        <w:gridCol w:w="1392"/>
        <w:gridCol w:w="1392"/>
        <w:gridCol w:w="1466"/>
      </w:tblGrid>
      <w:tr w:rsidR="001E359D" w:rsidTr="008B680F">
        <w:trPr>
          <w:trHeight w:val="675"/>
          <w:jc w:val="center"/>
        </w:trPr>
        <w:tc>
          <w:tcPr>
            <w:tcW w:w="2482" w:type="dxa"/>
            <w:tcBorders>
              <w:top w:val="single" w:sz="12" w:space="0" w:color="auto"/>
              <w:right w:val="single" w:sz="12" w:space="0" w:color="auto"/>
            </w:tcBorders>
            <w:noWrap/>
            <w:vAlign w:val="bottom"/>
          </w:tcPr>
          <w:p w:rsidR="001E359D" w:rsidRDefault="001E359D" w:rsidP="008B68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E359D" w:rsidRDefault="001E359D" w:rsidP="008B68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Vymezení </w:t>
            </w:r>
          </w:p>
          <w:p w:rsidR="001E359D" w:rsidRDefault="001E359D" w:rsidP="008B68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 roce 2003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1E359D" w:rsidRDefault="001E359D" w:rsidP="008B68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1.revize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vymezení v roce 2007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359D" w:rsidRDefault="001E359D" w:rsidP="008B68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2.revize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vymezení v roce 2011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359D" w:rsidRDefault="001E359D" w:rsidP="008B68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3.revize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vymezení v roce 2015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</w:tcBorders>
          </w:tcPr>
          <w:p w:rsidR="001E359D" w:rsidRDefault="001E359D" w:rsidP="008B68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4.revize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vymezení v roce 2019</w:t>
            </w:r>
          </w:p>
        </w:tc>
      </w:tr>
      <w:tr w:rsidR="001E359D" w:rsidTr="008B680F">
        <w:trPr>
          <w:trHeight w:val="329"/>
          <w:jc w:val="center"/>
        </w:trPr>
        <w:tc>
          <w:tcPr>
            <w:tcW w:w="248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E359D" w:rsidRDefault="001E359D" w:rsidP="008B68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Podíl plochy zranitelných oblastí v ploše ČR (v %)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E359D" w:rsidRDefault="001E359D" w:rsidP="008B68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36,7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9D" w:rsidRDefault="001E359D" w:rsidP="008B68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39,9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E359D" w:rsidRDefault="001E359D" w:rsidP="008B68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41,6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59D" w:rsidRDefault="001E359D" w:rsidP="008B68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41,9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59D" w:rsidRDefault="001E359D" w:rsidP="008B68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42,0</w:t>
            </w:r>
          </w:p>
        </w:tc>
      </w:tr>
      <w:tr w:rsidR="001E359D" w:rsidTr="008B680F">
        <w:trPr>
          <w:trHeight w:val="654"/>
          <w:jc w:val="center"/>
        </w:trPr>
        <w:tc>
          <w:tcPr>
            <w:tcW w:w="2482" w:type="dxa"/>
            <w:tcBorders>
              <w:top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E359D" w:rsidRDefault="001E359D" w:rsidP="008B68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Podíl zemědělské půdy *) ve zranitelných oblastech k celkové ploše zemědělské půdy v ČR (v %)</w:t>
            </w:r>
          </w:p>
        </w:tc>
        <w:tc>
          <w:tcPr>
            <w:tcW w:w="11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E359D" w:rsidRDefault="001E359D" w:rsidP="008B68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42,5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9D" w:rsidRDefault="001E359D" w:rsidP="008B68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47,7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E359D" w:rsidRDefault="001E359D" w:rsidP="008B68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49,0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59D" w:rsidRPr="00B456F3" w:rsidRDefault="001E359D" w:rsidP="008B680F">
            <w:pPr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DC070A">
              <w:rPr>
                <w:rFonts w:ascii="Arial" w:hAnsi="Arial" w:cs="Arial"/>
                <w:bCs/>
                <w:sz w:val="16"/>
                <w:szCs w:val="16"/>
              </w:rPr>
              <w:t>50,2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E359D" w:rsidRPr="00DC070A" w:rsidRDefault="001E359D" w:rsidP="008B68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49,4</w:t>
            </w:r>
          </w:p>
        </w:tc>
      </w:tr>
      <w:tr w:rsidR="001E359D" w:rsidTr="008B680F">
        <w:trPr>
          <w:trHeight w:val="459"/>
          <w:jc w:val="center"/>
        </w:trPr>
        <w:tc>
          <w:tcPr>
            <w:tcW w:w="2482" w:type="dxa"/>
            <w:tcBorders>
              <w:top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E359D" w:rsidRDefault="001E359D" w:rsidP="008B68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Podíl plochy zemědělské půdy *) z celkové plochy zranitelných oblastí (v %)</w:t>
            </w:r>
          </w:p>
        </w:tc>
        <w:tc>
          <w:tcPr>
            <w:tcW w:w="11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E359D" w:rsidRDefault="001E359D" w:rsidP="008B68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71,0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59D" w:rsidRDefault="001E359D" w:rsidP="008B68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69,3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E359D" w:rsidRDefault="001E359D" w:rsidP="008B68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68,4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59D" w:rsidRPr="00B456F3" w:rsidRDefault="001E359D" w:rsidP="008B680F">
            <w:pPr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DC070A">
              <w:rPr>
                <w:rFonts w:ascii="Arial" w:hAnsi="Arial" w:cs="Arial"/>
                <w:bCs/>
                <w:sz w:val="16"/>
                <w:szCs w:val="16"/>
              </w:rPr>
              <w:t>68,4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E359D" w:rsidRPr="00DC070A" w:rsidRDefault="001E359D" w:rsidP="008B68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68,1</w:t>
            </w:r>
          </w:p>
        </w:tc>
      </w:tr>
      <w:tr w:rsidR="001E359D" w:rsidTr="008B680F">
        <w:trPr>
          <w:trHeight w:val="480"/>
          <w:jc w:val="center"/>
        </w:trPr>
        <w:tc>
          <w:tcPr>
            <w:tcW w:w="248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E359D" w:rsidRDefault="001E359D" w:rsidP="008B68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Podíl plochy orné půdy *) z celkové plochy zranitelných oblastí (v %)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E359D" w:rsidRDefault="001E359D" w:rsidP="008B68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E359D" w:rsidRDefault="001E359D" w:rsidP="008B68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noWrap/>
            <w:vAlign w:val="center"/>
          </w:tcPr>
          <w:p w:rsidR="001E359D" w:rsidRDefault="001E359D" w:rsidP="008B68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54,9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359D" w:rsidRPr="00B456F3" w:rsidRDefault="001E359D" w:rsidP="008B680F">
            <w:pPr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DC070A">
              <w:rPr>
                <w:rFonts w:ascii="Arial" w:hAnsi="Arial" w:cs="Arial"/>
                <w:bCs/>
                <w:sz w:val="16"/>
                <w:szCs w:val="16"/>
              </w:rPr>
              <w:t>53,9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E359D" w:rsidRPr="00DC070A" w:rsidRDefault="001E359D" w:rsidP="008B68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53,2</w:t>
            </w:r>
          </w:p>
        </w:tc>
      </w:tr>
    </w:tbl>
    <w:p w:rsidR="001E359D" w:rsidRDefault="001E359D" w:rsidP="001E359D">
      <w:pPr>
        <w:jc w:val="both"/>
        <w:rPr>
          <w:rFonts w:ascii="Arial" w:hAnsi="Arial" w:cs="Arial"/>
          <w:sz w:val="20"/>
        </w:rPr>
      </w:pPr>
    </w:p>
    <w:p w:rsidR="001E359D" w:rsidRDefault="001E359D" w:rsidP="001E359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*) rozsah zemědělské půdy a orné půdy podle vrstvy </w:t>
      </w:r>
      <w:proofErr w:type="spellStart"/>
      <w:r>
        <w:rPr>
          <w:rFonts w:ascii="Arial" w:hAnsi="Arial" w:cs="Arial"/>
          <w:sz w:val="16"/>
          <w:szCs w:val="16"/>
        </w:rPr>
        <w:t>Corine</w:t>
      </w:r>
      <w:proofErr w:type="spellEnd"/>
      <w:r>
        <w:rPr>
          <w:rFonts w:ascii="Arial" w:hAnsi="Arial" w:cs="Arial"/>
          <w:sz w:val="16"/>
          <w:szCs w:val="16"/>
        </w:rPr>
        <w:t xml:space="preserve"> Land </w:t>
      </w:r>
      <w:proofErr w:type="spellStart"/>
      <w:r>
        <w:rPr>
          <w:rFonts w:ascii="Arial" w:hAnsi="Arial" w:cs="Arial"/>
          <w:sz w:val="16"/>
          <w:szCs w:val="16"/>
        </w:rPr>
        <w:t>Cover</w:t>
      </w:r>
      <w:proofErr w:type="spellEnd"/>
      <w:r>
        <w:rPr>
          <w:rFonts w:ascii="Arial" w:hAnsi="Arial" w:cs="Arial"/>
          <w:sz w:val="16"/>
          <w:szCs w:val="16"/>
        </w:rPr>
        <w:t xml:space="preserve"> 90 pro rok 2003, </w:t>
      </w:r>
      <w:proofErr w:type="spellStart"/>
      <w:r>
        <w:rPr>
          <w:rFonts w:ascii="Arial" w:hAnsi="Arial" w:cs="Arial"/>
          <w:sz w:val="16"/>
          <w:szCs w:val="16"/>
        </w:rPr>
        <w:t>Corine</w:t>
      </w:r>
      <w:proofErr w:type="spellEnd"/>
      <w:r>
        <w:rPr>
          <w:rFonts w:ascii="Arial" w:hAnsi="Arial" w:cs="Arial"/>
          <w:sz w:val="16"/>
          <w:szCs w:val="16"/>
        </w:rPr>
        <w:t xml:space="preserve"> Land </w:t>
      </w:r>
      <w:proofErr w:type="spellStart"/>
      <w:r>
        <w:rPr>
          <w:rFonts w:ascii="Arial" w:hAnsi="Arial" w:cs="Arial"/>
          <w:sz w:val="16"/>
          <w:szCs w:val="16"/>
        </w:rPr>
        <w:t>Cover</w:t>
      </w:r>
      <w:proofErr w:type="spellEnd"/>
      <w:r>
        <w:rPr>
          <w:rFonts w:ascii="Arial" w:hAnsi="Arial" w:cs="Arial"/>
          <w:sz w:val="16"/>
          <w:szCs w:val="16"/>
        </w:rPr>
        <w:t xml:space="preserve"> 2000 pro rok 2007, </w:t>
      </w:r>
      <w:proofErr w:type="spellStart"/>
      <w:r>
        <w:rPr>
          <w:rFonts w:ascii="Arial" w:hAnsi="Arial" w:cs="Arial"/>
          <w:sz w:val="16"/>
          <w:szCs w:val="16"/>
        </w:rPr>
        <w:t>Corine</w:t>
      </w:r>
      <w:proofErr w:type="spellEnd"/>
      <w:r>
        <w:rPr>
          <w:rFonts w:ascii="Arial" w:hAnsi="Arial" w:cs="Arial"/>
          <w:sz w:val="16"/>
          <w:szCs w:val="16"/>
        </w:rPr>
        <w:t xml:space="preserve"> Land </w:t>
      </w:r>
      <w:proofErr w:type="spellStart"/>
      <w:r>
        <w:rPr>
          <w:rFonts w:ascii="Arial" w:hAnsi="Arial" w:cs="Arial"/>
          <w:sz w:val="16"/>
          <w:szCs w:val="16"/>
        </w:rPr>
        <w:t>Cover</w:t>
      </w:r>
      <w:proofErr w:type="spellEnd"/>
      <w:r>
        <w:rPr>
          <w:rFonts w:ascii="Arial" w:hAnsi="Arial" w:cs="Arial"/>
          <w:sz w:val="16"/>
          <w:szCs w:val="16"/>
        </w:rPr>
        <w:t xml:space="preserve"> 2006 pro rok 2011, </w:t>
      </w:r>
      <w:proofErr w:type="spellStart"/>
      <w:r>
        <w:rPr>
          <w:rFonts w:ascii="Arial" w:hAnsi="Arial" w:cs="Arial"/>
          <w:sz w:val="16"/>
          <w:szCs w:val="16"/>
        </w:rPr>
        <w:t>Corine</w:t>
      </w:r>
      <w:proofErr w:type="spellEnd"/>
      <w:r>
        <w:rPr>
          <w:rFonts w:ascii="Arial" w:hAnsi="Arial" w:cs="Arial"/>
          <w:sz w:val="16"/>
          <w:szCs w:val="16"/>
        </w:rPr>
        <w:t xml:space="preserve"> Land </w:t>
      </w:r>
      <w:proofErr w:type="spellStart"/>
      <w:r>
        <w:rPr>
          <w:rFonts w:ascii="Arial" w:hAnsi="Arial" w:cs="Arial"/>
          <w:sz w:val="16"/>
          <w:szCs w:val="16"/>
        </w:rPr>
        <w:t>Cover</w:t>
      </w:r>
      <w:proofErr w:type="spellEnd"/>
      <w:r>
        <w:rPr>
          <w:rFonts w:ascii="Arial" w:hAnsi="Arial" w:cs="Arial"/>
          <w:sz w:val="16"/>
          <w:szCs w:val="16"/>
        </w:rPr>
        <w:t xml:space="preserve"> 2012 pro rok 2015 a </w:t>
      </w:r>
      <w:proofErr w:type="spellStart"/>
      <w:r>
        <w:rPr>
          <w:rFonts w:ascii="Arial" w:hAnsi="Arial" w:cs="Arial"/>
          <w:sz w:val="16"/>
          <w:szCs w:val="16"/>
        </w:rPr>
        <w:t>Corine</w:t>
      </w:r>
      <w:proofErr w:type="spellEnd"/>
      <w:r>
        <w:rPr>
          <w:rFonts w:ascii="Arial" w:hAnsi="Arial" w:cs="Arial"/>
          <w:sz w:val="16"/>
          <w:szCs w:val="16"/>
        </w:rPr>
        <w:t xml:space="preserve"> Land </w:t>
      </w:r>
      <w:proofErr w:type="spellStart"/>
      <w:r>
        <w:rPr>
          <w:rFonts w:ascii="Arial" w:hAnsi="Arial" w:cs="Arial"/>
          <w:sz w:val="16"/>
          <w:szCs w:val="16"/>
        </w:rPr>
        <w:t>Cover</w:t>
      </w:r>
      <w:proofErr w:type="spellEnd"/>
      <w:r>
        <w:rPr>
          <w:rFonts w:ascii="Arial" w:hAnsi="Arial" w:cs="Arial"/>
          <w:sz w:val="16"/>
          <w:szCs w:val="16"/>
        </w:rPr>
        <w:t xml:space="preserve"> 2018 pro rok 2019</w:t>
      </w:r>
    </w:p>
    <w:p w:rsidR="00E50370" w:rsidRDefault="00E50370">
      <w:bookmarkStart w:id="0" w:name="_GoBack"/>
      <w:bookmarkEnd w:id="0"/>
    </w:p>
    <w:sectPr w:rsidR="00E50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F5DD1"/>
    <w:multiLevelType w:val="hybridMultilevel"/>
    <w:tmpl w:val="1206CF06"/>
    <w:lvl w:ilvl="0" w:tplc="CA829B82">
      <w:start w:val="1"/>
      <w:numFmt w:val="decimal"/>
      <w:pStyle w:val="tabulka"/>
      <w:lvlText w:val="Tab. %1: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9D"/>
    <w:rsid w:val="001E359D"/>
    <w:rsid w:val="00526DFF"/>
    <w:rsid w:val="00794C2D"/>
    <w:rsid w:val="00E5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B8445-DF4C-42D9-B8ED-377622F8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3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">
    <w:name w:val="tabulka"/>
    <w:basedOn w:val="Normln"/>
    <w:next w:val="Zkladntext"/>
    <w:rsid w:val="001E359D"/>
    <w:pPr>
      <w:keepNext/>
      <w:numPr>
        <w:numId w:val="1"/>
      </w:num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hAnsi="Arial"/>
      <w:sz w:val="16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E3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E359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Výzkumný ústav vodohospodářský T. G. Masaryka, v.v.i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Hrabánková Anna</dc:creator>
  <cp:keywords/>
  <dc:description/>
  <cp:lastModifiedBy>Hrabánková Anna</cp:lastModifiedBy>
  <cp:revision>1</cp:revision>
  <dcterms:created xsi:type="dcterms:W3CDTF">2020-08-31T09:37:00Z</dcterms:created>
  <dcterms:modified xsi:type="dcterms:W3CDTF">2020-08-31T09:38:00Z</dcterms:modified>
</cp:coreProperties>
</file>