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DF25" w14:textId="77777777" w:rsidR="0003055D" w:rsidRPr="00720C8D" w:rsidRDefault="004C23D0" w:rsidP="004C23D0">
      <w:pPr>
        <w:spacing w:after="60" w:line="276" w:lineRule="auto"/>
        <w:jc w:val="center"/>
        <w:rPr>
          <w:rFonts w:cstheme="minorHAnsi"/>
          <w:b/>
          <w:sz w:val="44"/>
          <w:szCs w:val="22"/>
        </w:rPr>
      </w:pPr>
      <w:r>
        <w:rPr>
          <w:rFonts w:cstheme="minorHAnsi"/>
          <w:b/>
          <w:sz w:val="44"/>
          <w:szCs w:val="22"/>
        </w:rPr>
        <w:t>KUPNÍ SMLOUVA</w:t>
      </w:r>
    </w:p>
    <w:p w14:paraId="2C006D27" w14:textId="77777777" w:rsidR="002B664F" w:rsidRDefault="00902752" w:rsidP="004C23D0">
      <w:pPr>
        <w:spacing w:before="60" w:line="276" w:lineRule="auto"/>
        <w:jc w:val="center"/>
        <w:rPr>
          <w:rFonts w:cstheme="minorHAnsi"/>
          <w:b/>
          <w:snapToGrid w:val="0"/>
          <w:szCs w:val="22"/>
        </w:rPr>
      </w:pPr>
      <w:r>
        <w:rPr>
          <w:rFonts w:cstheme="minorHAnsi"/>
          <w:bCs/>
          <w:color w:val="000000"/>
          <w:szCs w:val="22"/>
        </w:rPr>
        <w:t>(</w:t>
      </w:r>
      <w:r w:rsidR="002B664F" w:rsidRPr="00720C8D">
        <w:rPr>
          <w:rFonts w:cstheme="minorHAnsi"/>
          <w:bCs/>
          <w:color w:val="000000"/>
          <w:szCs w:val="22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="002B664F" w:rsidRPr="00720C8D">
          <w:rPr>
            <w:rFonts w:cstheme="minorHAnsi"/>
            <w:bCs/>
            <w:color w:val="000000"/>
            <w:szCs w:val="22"/>
          </w:rPr>
          <w:t>2079 a</w:t>
        </w:r>
      </w:smartTag>
      <w:r w:rsidR="002B664F" w:rsidRPr="00720C8D">
        <w:rPr>
          <w:rFonts w:cstheme="minorHAnsi"/>
          <w:bCs/>
          <w:color w:val="000000"/>
          <w:szCs w:val="22"/>
        </w:rPr>
        <w:t xml:space="preserve"> násl. zákona č. 89/2012 občanského zákoníku</w:t>
      </w:r>
      <w:r>
        <w:rPr>
          <w:rFonts w:cstheme="minorHAnsi"/>
          <w:bCs/>
          <w:color w:val="000000"/>
          <w:szCs w:val="22"/>
        </w:rPr>
        <w:t xml:space="preserve"> </w:t>
      </w:r>
      <w:r w:rsidR="002B664F" w:rsidRPr="00720C8D">
        <w:rPr>
          <w:rFonts w:cstheme="minorHAnsi"/>
          <w:b/>
          <w:snapToGrid w:val="0"/>
          <w:szCs w:val="22"/>
        </w:rPr>
        <w:t>o prodeji movitých věcí</w:t>
      </w:r>
      <w:r>
        <w:rPr>
          <w:rFonts w:cstheme="minorHAnsi"/>
          <w:b/>
          <w:snapToGrid w:val="0"/>
          <w:szCs w:val="22"/>
        </w:rPr>
        <w:t>)</w:t>
      </w:r>
    </w:p>
    <w:p w14:paraId="27683B6C" w14:textId="77777777" w:rsidR="004E2B52" w:rsidRPr="00902752" w:rsidRDefault="004E2B52" w:rsidP="004C23D0">
      <w:pPr>
        <w:spacing w:before="60" w:line="276" w:lineRule="auto"/>
        <w:jc w:val="center"/>
        <w:rPr>
          <w:rFonts w:cstheme="minorHAnsi"/>
          <w:bCs/>
          <w:color w:val="000000"/>
          <w:szCs w:val="22"/>
        </w:rPr>
      </w:pPr>
    </w:p>
    <w:p w14:paraId="64BC784C" w14:textId="77777777" w:rsidR="002B664F" w:rsidRPr="004C23D0" w:rsidRDefault="00506E2B" w:rsidP="004C23D0">
      <w:pPr>
        <w:pStyle w:val="Nadpis1"/>
        <w:spacing w:line="276" w:lineRule="auto"/>
      </w:pPr>
      <w:r w:rsidRPr="002B7867">
        <w:t>SMLUVNÍ STRANY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5357"/>
      </w:tblGrid>
      <w:tr w:rsidR="002B664F" w:rsidRPr="00720C8D" w14:paraId="71385C94" w14:textId="77777777" w:rsidTr="004C23D0">
        <w:trPr>
          <w:cantSplit/>
          <w:trHeight w:val="298"/>
        </w:trPr>
        <w:tc>
          <w:tcPr>
            <w:tcW w:w="3760" w:type="dxa"/>
          </w:tcPr>
          <w:p w14:paraId="2D5FE230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Společnost:</w:t>
            </w:r>
          </w:p>
        </w:tc>
        <w:tc>
          <w:tcPr>
            <w:tcW w:w="5450" w:type="dxa"/>
          </w:tcPr>
          <w:p w14:paraId="52751877" w14:textId="77777777" w:rsidR="002B664F" w:rsidRPr="00720C8D" w:rsidRDefault="0053280E" w:rsidP="0053280E">
            <w:pPr>
              <w:pStyle w:val="Nadpis7"/>
              <w:spacing w:before="0" w:after="0" w:line="276" w:lineRule="auto"/>
              <w:rPr>
                <w:rFonts w:cstheme="minorHAnsi"/>
                <w:b w:val="0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 w:val="0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2B664F" w:rsidRPr="00720C8D" w14:paraId="1AED324F" w14:textId="77777777" w:rsidTr="004C23D0">
        <w:trPr>
          <w:cantSplit/>
        </w:trPr>
        <w:tc>
          <w:tcPr>
            <w:tcW w:w="3760" w:type="dxa"/>
          </w:tcPr>
          <w:p w14:paraId="1A448152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sídlo:</w:t>
            </w:r>
          </w:p>
        </w:tc>
        <w:tc>
          <w:tcPr>
            <w:tcW w:w="5450" w:type="dxa"/>
          </w:tcPr>
          <w:p w14:paraId="5121DB77" w14:textId="77777777" w:rsidR="002B664F" w:rsidRPr="0053280E" w:rsidRDefault="0053280E" w:rsidP="004C23D0">
            <w:pPr>
              <w:spacing w:before="0" w:after="0" w:line="276" w:lineRule="auto"/>
              <w:rPr>
                <w:rFonts w:cstheme="minorHAnsi"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2B664F" w:rsidRPr="00720C8D" w14:paraId="3056521E" w14:textId="77777777" w:rsidTr="004C23D0">
        <w:trPr>
          <w:cantSplit/>
        </w:trPr>
        <w:tc>
          <w:tcPr>
            <w:tcW w:w="3760" w:type="dxa"/>
          </w:tcPr>
          <w:p w14:paraId="18AFBE85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IČ:</w:t>
            </w:r>
          </w:p>
        </w:tc>
        <w:tc>
          <w:tcPr>
            <w:tcW w:w="5450" w:type="dxa"/>
          </w:tcPr>
          <w:p w14:paraId="292CA22D" w14:textId="77777777" w:rsidR="002B664F" w:rsidRPr="0053280E" w:rsidRDefault="0053280E" w:rsidP="004C23D0">
            <w:pPr>
              <w:spacing w:before="0" w:after="0" w:line="276" w:lineRule="auto"/>
              <w:rPr>
                <w:rFonts w:cstheme="minorHAnsi"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2B664F" w:rsidRPr="00720C8D" w14:paraId="2B0CDFD5" w14:textId="77777777" w:rsidTr="004C23D0">
        <w:trPr>
          <w:cantSplit/>
        </w:trPr>
        <w:tc>
          <w:tcPr>
            <w:tcW w:w="3760" w:type="dxa"/>
          </w:tcPr>
          <w:p w14:paraId="7A992475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DIČ:</w:t>
            </w:r>
          </w:p>
        </w:tc>
        <w:tc>
          <w:tcPr>
            <w:tcW w:w="5450" w:type="dxa"/>
          </w:tcPr>
          <w:p w14:paraId="60189B5B" w14:textId="77777777" w:rsidR="002B664F" w:rsidRPr="0053280E" w:rsidRDefault="0053280E" w:rsidP="004C23D0">
            <w:pPr>
              <w:spacing w:before="0" w:after="0" w:line="276" w:lineRule="auto"/>
              <w:rPr>
                <w:rFonts w:cstheme="minorHAnsi"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5E545D" w:rsidRPr="00720C8D" w14:paraId="70963D07" w14:textId="77777777" w:rsidTr="004C23D0">
        <w:trPr>
          <w:cantSplit/>
        </w:trPr>
        <w:tc>
          <w:tcPr>
            <w:tcW w:w="3760" w:type="dxa"/>
          </w:tcPr>
          <w:p w14:paraId="27F3A5D4" w14:textId="77777777" w:rsidR="005E545D" w:rsidRPr="00720C8D" w:rsidRDefault="00EC3942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Název banky:</w:t>
            </w:r>
          </w:p>
        </w:tc>
        <w:tc>
          <w:tcPr>
            <w:tcW w:w="5450" w:type="dxa"/>
          </w:tcPr>
          <w:p w14:paraId="492D7960" w14:textId="77777777" w:rsidR="005E545D" w:rsidRPr="0053280E" w:rsidRDefault="0053280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506E2B" w:rsidRPr="00720C8D" w14:paraId="5FCE5AA9" w14:textId="77777777" w:rsidTr="004C23D0">
        <w:trPr>
          <w:cantSplit/>
        </w:trPr>
        <w:tc>
          <w:tcPr>
            <w:tcW w:w="3760" w:type="dxa"/>
          </w:tcPr>
          <w:p w14:paraId="4EB017A0" w14:textId="77777777" w:rsidR="00506E2B" w:rsidRPr="00720C8D" w:rsidRDefault="00EC3942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Bankovní spojení:</w:t>
            </w:r>
          </w:p>
        </w:tc>
        <w:tc>
          <w:tcPr>
            <w:tcW w:w="5450" w:type="dxa"/>
          </w:tcPr>
          <w:p w14:paraId="5487261F" w14:textId="77777777" w:rsidR="00506E2B" w:rsidRPr="0053280E" w:rsidRDefault="0053280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2B664F" w:rsidRPr="00720C8D" w14:paraId="7AD3C1CE" w14:textId="77777777" w:rsidTr="004C23D0">
        <w:trPr>
          <w:cantSplit/>
        </w:trPr>
        <w:tc>
          <w:tcPr>
            <w:tcW w:w="3760" w:type="dxa"/>
          </w:tcPr>
          <w:p w14:paraId="0A78F8B6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napToGrid w:val="0"/>
                <w:szCs w:val="22"/>
              </w:rPr>
            </w:pPr>
            <w:r w:rsidRPr="00720C8D">
              <w:rPr>
                <w:rFonts w:cstheme="minorHAnsi"/>
                <w:szCs w:val="22"/>
              </w:rPr>
              <w:t>zastoupená</w:t>
            </w:r>
            <w:r w:rsidRPr="00720C8D">
              <w:rPr>
                <w:rFonts w:cstheme="minorHAnsi"/>
                <w:snapToGrid w:val="0"/>
                <w:szCs w:val="22"/>
              </w:rPr>
              <w:t xml:space="preserve">: </w:t>
            </w:r>
          </w:p>
        </w:tc>
        <w:tc>
          <w:tcPr>
            <w:tcW w:w="5450" w:type="dxa"/>
          </w:tcPr>
          <w:p w14:paraId="5DEA267F" w14:textId="77777777" w:rsidR="00BC7426" w:rsidRPr="0053280E" w:rsidRDefault="0053280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BC7426" w:rsidRPr="00720C8D" w14:paraId="71CB8BBD" w14:textId="77777777" w:rsidTr="004C23D0">
        <w:trPr>
          <w:cantSplit/>
        </w:trPr>
        <w:tc>
          <w:tcPr>
            <w:tcW w:w="3760" w:type="dxa"/>
          </w:tcPr>
          <w:p w14:paraId="28BEFCB7" w14:textId="77777777" w:rsidR="00BC7426" w:rsidRPr="00720C8D" w:rsidRDefault="00BC7426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Mobil:</w:t>
            </w:r>
          </w:p>
        </w:tc>
        <w:tc>
          <w:tcPr>
            <w:tcW w:w="5450" w:type="dxa"/>
          </w:tcPr>
          <w:p w14:paraId="41F1BC24" w14:textId="77777777" w:rsidR="00BC7426" w:rsidRPr="0053280E" w:rsidRDefault="0053280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  <w:tr w:rsidR="00BC7426" w:rsidRPr="00720C8D" w14:paraId="3BA9DC4B" w14:textId="77777777" w:rsidTr="004C23D0">
        <w:trPr>
          <w:cantSplit/>
          <w:trHeight w:val="80"/>
        </w:trPr>
        <w:tc>
          <w:tcPr>
            <w:tcW w:w="3760" w:type="dxa"/>
          </w:tcPr>
          <w:p w14:paraId="28BCC99F" w14:textId="77777777" w:rsidR="00BC7426" w:rsidRPr="00720C8D" w:rsidRDefault="00BC7426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E-mail:</w:t>
            </w:r>
          </w:p>
        </w:tc>
        <w:tc>
          <w:tcPr>
            <w:tcW w:w="5450" w:type="dxa"/>
          </w:tcPr>
          <w:p w14:paraId="6D8FAB41" w14:textId="77777777" w:rsidR="00BC7426" w:rsidRPr="0053280E" w:rsidRDefault="0053280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53280E">
              <w:rPr>
                <w:rFonts w:cstheme="minorHAnsi"/>
                <w:bCs/>
                <w:color w:val="000000"/>
                <w:szCs w:val="22"/>
                <w:highlight w:val="yellow"/>
              </w:rPr>
              <w:t>XY</w:t>
            </w:r>
          </w:p>
        </w:tc>
      </w:tr>
    </w:tbl>
    <w:p w14:paraId="7E74F080" w14:textId="77777777" w:rsidR="002B664F" w:rsidRPr="00720C8D" w:rsidRDefault="002B664F" w:rsidP="002B7867">
      <w:pPr>
        <w:spacing w:before="240" w:after="240" w:line="276" w:lineRule="auto"/>
        <w:jc w:val="center"/>
        <w:rPr>
          <w:rFonts w:cstheme="minorHAnsi"/>
          <w:szCs w:val="22"/>
        </w:rPr>
      </w:pPr>
      <w:r w:rsidRPr="00720C8D">
        <w:rPr>
          <w:rFonts w:cstheme="minorHAnsi"/>
          <w:snapToGrid w:val="0"/>
          <w:szCs w:val="22"/>
        </w:rPr>
        <w:t>jako strana</w:t>
      </w:r>
      <w:r w:rsidR="00530732" w:rsidRPr="00720C8D">
        <w:rPr>
          <w:rFonts w:cstheme="minorHAnsi"/>
          <w:snapToGrid w:val="0"/>
          <w:szCs w:val="22"/>
        </w:rPr>
        <w:t xml:space="preserve"> </w:t>
      </w:r>
      <w:r w:rsidRPr="00720C8D">
        <w:rPr>
          <w:rFonts w:cstheme="minorHAnsi"/>
          <w:b/>
          <w:i/>
          <w:snapToGrid w:val="0"/>
          <w:szCs w:val="22"/>
        </w:rPr>
        <w:t>prodávající</w:t>
      </w:r>
    </w:p>
    <w:p w14:paraId="673B54BC" w14:textId="77777777" w:rsidR="002B664F" w:rsidRPr="004C23D0" w:rsidRDefault="002B664F" w:rsidP="004C23D0">
      <w:pPr>
        <w:spacing w:line="276" w:lineRule="auto"/>
        <w:jc w:val="center"/>
        <w:rPr>
          <w:rFonts w:cstheme="minorHAnsi"/>
          <w:i/>
          <w:snapToGrid w:val="0"/>
          <w:szCs w:val="22"/>
        </w:rPr>
      </w:pPr>
      <w:r w:rsidRPr="00720C8D">
        <w:rPr>
          <w:rFonts w:cstheme="minorHAnsi"/>
          <w:i/>
          <w:snapToGrid w:val="0"/>
          <w:szCs w:val="22"/>
        </w:rPr>
        <w:t>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5334"/>
      </w:tblGrid>
      <w:tr w:rsidR="002B664F" w:rsidRPr="00720C8D" w14:paraId="6095DDED" w14:textId="77777777" w:rsidTr="004C23D0">
        <w:trPr>
          <w:cantSplit/>
        </w:trPr>
        <w:tc>
          <w:tcPr>
            <w:tcW w:w="3777" w:type="dxa"/>
          </w:tcPr>
          <w:p w14:paraId="6A2EA269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Společnost:</w:t>
            </w:r>
          </w:p>
        </w:tc>
        <w:tc>
          <w:tcPr>
            <w:tcW w:w="5383" w:type="dxa"/>
          </w:tcPr>
          <w:p w14:paraId="1A19887D" w14:textId="77777777" w:rsidR="002B664F" w:rsidRPr="00720C8D" w:rsidRDefault="00006B3E" w:rsidP="004C23D0">
            <w:pPr>
              <w:pStyle w:val="Nadpis7"/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>
              <w:rPr>
                <w:rFonts w:cstheme="minorHAnsi"/>
                <w:bCs/>
                <w:color w:val="000000"/>
                <w:szCs w:val="22"/>
              </w:rPr>
              <w:t>Václav Sýkora</w:t>
            </w:r>
          </w:p>
        </w:tc>
      </w:tr>
      <w:tr w:rsidR="002B664F" w:rsidRPr="00720C8D" w14:paraId="401A392B" w14:textId="77777777" w:rsidTr="004C23D0">
        <w:trPr>
          <w:cantSplit/>
        </w:trPr>
        <w:tc>
          <w:tcPr>
            <w:tcW w:w="3777" w:type="dxa"/>
          </w:tcPr>
          <w:p w14:paraId="706FC7FA" w14:textId="77777777" w:rsidR="002B664F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sídlo:</w:t>
            </w:r>
          </w:p>
        </w:tc>
        <w:tc>
          <w:tcPr>
            <w:tcW w:w="5383" w:type="dxa"/>
          </w:tcPr>
          <w:p w14:paraId="0B57BDD5" w14:textId="77777777" w:rsidR="002B664F" w:rsidRPr="00720C8D" w:rsidRDefault="00006B3E" w:rsidP="00E745F7">
            <w:pPr>
              <w:spacing w:before="0" w:after="0" w:line="276" w:lineRule="auto"/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bCs/>
                <w:color w:val="000000"/>
                <w:szCs w:val="22"/>
              </w:rPr>
              <w:t>Čachotín 84, 583 01 Chotěboř</w:t>
            </w:r>
          </w:p>
        </w:tc>
      </w:tr>
      <w:tr w:rsidR="002B664F" w:rsidRPr="00720C8D" w14:paraId="15E75323" w14:textId="77777777" w:rsidTr="004C23D0">
        <w:trPr>
          <w:cantSplit/>
          <w:trHeight w:val="299"/>
        </w:trPr>
        <w:tc>
          <w:tcPr>
            <w:tcW w:w="3777" w:type="dxa"/>
          </w:tcPr>
          <w:p w14:paraId="49100794" w14:textId="77777777" w:rsidR="00684A19" w:rsidRPr="00720C8D" w:rsidRDefault="002B664F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IČ:</w:t>
            </w:r>
          </w:p>
        </w:tc>
        <w:tc>
          <w:tcPr>
            <w:tcW w:w="5383" w:type="dxa"/>
          </w:tcPr>
          <w:p w14:paraId="06FF9442" w14:textId="77777777" w:rsidR="004C23D0" w:rsidRPr="00720C8D" w:rsidRDefault="00006B3E" w:rsidP="006B72FB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006B3E">
              <w:rPr>
                <w:rFonts w:cstheme="minorHAnsi"/>
                <w:bCs/>
                <w:color w:val="000000"/>
                <w:szCs w:val="22"/>
              </w:rPr>
              <w:t>04013158</w:t>
            </w:r>
          </w:p>
        </w:tc>
      </w:tr>
      <w:tr w:rsidR="004C23D0" w:rsidRPr="00720C8D" w14:paraId="65A9DE5B" w14:textId="77777777" w:rsidTr="004C23D0">
        <w:trPr>
          <w:cantSplit/>
          <w:trHeight w:val="299"/>
        </w:trPr>
        <w:tc>
          <w:tcPr>
            <w:tcW w:w="3777" w:type="dxa"/>
          </w:tcPr>
          <w:p w14:paraId="666D312A" w14:textId="77777777" w:rsidR="004C23D0" w:rsidRPr="00720C8D" w:rsidRDefault="004C23D0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DIČ:</w:t>
            </w:r>
          </w:p>
        </w:tc>
        <w:tc>
          <w:tcPr>
            <w:tcW w:w="5383" w:type="dxa"/>
          </w:tcPr>
          <w:p w14:paraId="06041518" w14:textId="77777777" w:rsidR="004C23D0" w:rsidRPr="00720C8D" w:rsidRDefault="00006B3E" w:rsidP="00E745F7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006B3E">
              <w:rPr>
                <w:rFonts w:cstheme="minorHAnsi"/>
                <w:bCs/>
                <w:color w:val="000000"/>
                <w:szCs w:val="22"/>
              </w:rPr>
              <w:t>CZ6302230781</w:t>
            </w:r>
          </w:p>
        </w:tc>
      </w:tr>
      <w:tr w:rsidR="000F6D52" w:rsidRPr="00720C8D" w14:paraId="5EFDE56D" w14:textId="77777777" w:rsidTr="004C23D0">
        <w:trPr>
          <w:cantSplit/>
        </w:trPr>
        <w:tc>
          <w:tcPr>
            <w:tcW w:w="3777" w:type="dxa"/>
          </w:tcPr>
          <w:p w14:paraId="40C44271" w14:textId="77777777" w:rsidR="000F6D52" w:rsidRPr="00720C8D" w:rsidRDefault="000F6D52" w:rsidP="004C23D0">
            <w:pPr>
              <w:spacing w:before="0" w:after="0" w:line="276" w:lineRule="auto"/>
              <w:rPr>
                <w:rFonts w:cstheme="minorHAnsi"/>
                <w:snapToGrid w:val="0"/>
                <w:szCs w:val="22"/>
              </w:rPr>
            </w:pPr>
            <w:r w:rsidRPr="00720C8D">
              <w:rPr>
                <w:rFonts w:cstheme="minorHAnsi"/>
                <w:szCs w:val="22"/>
              </w:rPr>
              <w:t>zastoupená</w:t>
            </w:r>
            <w:r w:rsidRPr="00720C8D">
              <w:rPr>
                <w:rFonts w:cstheme="minorHAnsi"/>
                <w:snapToGrid w:val="0"/>
                <w:szCs w:val="22"/>
              </w:rPr>
              <w:t xml:space="preserve">: </w:t>
            </w:r>
          </w:p>
        </w:tc>
        <w:tc>
          <w:tcPr>
            <w:tcW w:w="5383" w:type="dxa"/>
          </w:tcPr>
          <w:p w14:paraId="4435CCC8" w14:textId="77777777" w:rsidR="000F6D52" w:rsidRPr="00720C8D" w:rsidRDefault="00006B3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>
              <w:rPr>
                <w:rFonts w:cstheme="minorHAnsi"/>
                <w:bCs/>
                <w:color w:val="000000"/>
                <w:szCs w:val="22"/>
              </w:rPr>
              <w:t>Václav Sýkora</w:t>
            </w:r>
          </w:p>
        </w:tc>
      </w:tr>
      <w:tr w:rsidR="000F6D52" w:rsidRPr="00720C8D" w14:paraId="0B11338D" w14:textId="77777777" w:rsidTr="004C23D0">
        <w:trPr>
          <w:cantSplit/>
        </w:trPr>
        <w:tc>
          <w:tcPr>
            <w:tcW w:w="3777" w:type="dxa"/>
          </w:tcPr>
          <w:p w14:paraId="4D577F75" w14:textId="77777777" w:rsidR="000F6D52" w:rsidRPr="00720C8D" w:rsidRDefault="000F6D52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Mobil:</w:t>
            </w:r>
          </w:p>
        </w:tc>
        <w:tc>
          <w:tcPr>
            <w:tcW w:w="5383" w:type="dxa"/>
          </w:tcPr>
          <w:p w14:paraId="30C184D2" w14:textId="77777777" w:rsidR="000F6D52" w:rsidRPr="00720C8D" w:rsidRDefault="00006B3E" w:rsidP="00903BD9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006B3E">
              <w:rPr>
                <w:rFonts w:cstheme="minorHAnsi"/>
                <w:bCs/>
                <w:color w:val="000000"/>
                <w:szCs w:val="22"/>
              </w:rPr>
              <w:t>+420 728 42 46 46</w:t>
            </w:r>
          </w:p>
        </w:tc>
      </w:tr>
      <w:tr w:rsidR="000F6D52" w:rsidRPr="00720C8D" w14:paraId="3392AFF6" w14:textId="77777777" w:rsidTr="004C23D0">
        <w:trPr>
          <w:cantSplit/>
        </w:trPr>
        <w:tc>
          <w:tcPr>
            <w:tcW w:w="3777" w:type="dxa"/>
          </w:tcPr>
          <w:p w14:paraId="2DF351BC" w14:textId="77777777" w:rsidR="000F6D52" w:rsidRPr="00720C8D" w:rsidRDefault="000F6D52" w:rsidP="004C23D0">
            <w:pPr>
              <w:spacing w:before="0" w:after="0" w:line="276" w:lineRule="auto"/>
              <w:rPr>
                <w:rFonts w:cstheme="minorHAnsi"/>
                <w:szCs w:val="22"/>
              </w:rPr>
            </w:pPr>
            <w:r w:rsidRPr="00720C8D">
              <w:rPr>
                <w:rFonts w:cstheme="minorHAnsi"/>
                <w:szCs w:val="22"/>
              </w:rPr>
              <w:t>E-mail:</w:t>
            </w:r>
          </w:p>
        </w:tc>
        <w:tc>
          <w:tcPr>
            <w:tcW w:w="5383" w:type="dxa"/>
          </w:tcPr>
          <w:p w14:paraId="6A9364E6" w14:textId="77777777" w:rsidR="000F6D52" w:rsidRPr="00720C8D" w:rsidRDefault="00006B3E" w:rsidP="004C23D0">
            <w:pPr>
              <w:spacing w:before="0" w:after="0" w:line="276" w:lineRule="auto"/>
              <w:rPr>
                <w:rFonts w:cstheme="minorHAnsi"/>
                <w:bCs/>
                <w:color w:val="000000"/>
                <w:szCs w:val="22"/>
              </w:rPr>
            </w:pPr>
            <w:r w:rsidRPr="00006B3E">
              <w:rPr>
                <w:rFonts w:cstheme="minorHAnsi"/>
                <w:bCs/>
                <w:color w:val="000000"/>
                <w:szCs w:val="22"/>
              </w:rPr>
              <w:t>vasek.sykora@gmail.com</w:t>
            </w:r>
          </w:p>
        </w:tc>
      </w:tr>
    </w:tbl>
    <w:p w14:paraId="1D753321" w14:textId="77777777" w:rsidR="002B664F" w:rsidRDefault="002B664F" w:rsidP="002B7867">
      <w:pPr>
        <w:spacing w:before="240" w:after="240" w:line="276" w:lineRule="auto"/>
        <w:jc w:val="center"/>
        <w:rPr>
          <w:rFonts w:cstheme="minorHAnsi"/>
          <w:b/>
          <w:i/>
          <w:snapToGrid w:val="0"/>
          <w:szCs w:val="22"/>
        </w:rPr>
      </w:pPr>
      <w:r w:rsidRPr="00720C8D">
        <w:rPr>
          <w:rFonts w:cstheme="minorHAnsi"/>
          <w:snapToGrid w:val="0"/>
          <w:szCs w:val="22"/>
        </w:rPr>
        <w:t xml:space="preserve">jako strana </w:t>
      </w:r>
      <w:r w:rsidRPr="00720C8D">
        <w:rPr>
          <w:rFonts w:cstheme="minorHAnsi"/>
          <w:b/>
          <w:i/>
          <w:snapToGrid w:val="0"/>
          <w:szCs w:val="22"/>
        </w:rPr>
        <w:t>kupující</w:t>
      </w:r>
    </w:p>
    <w:p w14:paraId="34374CC2" w14:textId="77777777" w:rsidR="004E2B52" w:rsidRPr="00720C8D" w:rsidRDefault="004E2B52" w:rsidP="002B7867">
      <w:pPr>
        <w:spacing w:before="240" w:after="240" w:line="276" w:lineRule="auto"/>
        <w:jc w:val="center"/>
        <w:rPr>
          <w:rFonts w:cstheme="minorHAnsi"/>
          <w:b/>
          <w:i/>
          <w:snapToGrid w:val="0"/>
          <w:szCs w:val="22"/>
        </w:rPr>
      </w:pPr>
    </w:p>
    <w:p w14:paraId="48888B2A" w14:textId="77777777" w:rsidR="00506E2B" w:rsidRPr="00720C8D" w:rsidRDefault="00506E2B" w:rsidP="002B7867">
      <w:pPr>
        <w:pStyle w:val="Nadpis1"/>
        <w:spacing w:line="276" w:lineRule="auto"/>
      </w:pPr>
      <w:r w:rsidRPr="00720C8D">
        <w:t>PREAMBULE</w:t>
      </w:r>
    </w:p>
    <w:p w14:paraId="394F982F" w14:textId="1293ACC7" w:rsidR="000F6D52" w:rsidRDefault="00D327C4" w:rsidP="004C23D0">
      <w:r>
        <w:t xml:space="preserve">1. Smluvní strany </w:t>
      </w:r>
      <w:r w:rsidR="002B664F" w:rsidRPr="00720C8D"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="002B664F" w:rsidRPr="00720C8D">
          <w:t>2079 a</w:t>
        </w:r>
      </w:smartTag>
      <w:r w:rsidR="002B664F" w:rsidRPr="00720C8D">
        <w:t xml:space="preserve"> násl. zákona č. 89/2012 Sb., občanský zákoník, v platném a účinném znění (dále jen „</w:t>
      </w:r>
      <w:r w:rsidR="002B664F" w:rsidRPr="00720C8D">
        <w:rPr>
          <w:b/>
        </w:rPr>
        <w:t>občanský zákoník</w:t>
      </w:r>
      <w:r w:rsidR="002B664F" w:rsidRPr="00720C8D">
        <w:t xml:space="preserve">“), </w:t>
      </w:r>
      <w:r w:rsidR="00E04236" w:rsidRPr="00720C8D">
        <w:t>jako výsledek uzavřeného výběrového ř</w:t>
      </w:r>
      <w:r w:rsidR="0053280E">
        <w:t xml:space="preserve">ízení na realizaci zakázky malého rozsahu </w:t>
      </w:r>
      <w:r w:rsidR="008013C2" w:rsidRPr="00720C8D">
        <w:t>nazvané „</w:t>
      </w:r>
      <w:r w:rsidR="008E0CED">
        <w:t>Pořízení hydraulického manipulátoru</w:t>
      </w:r>
      <w:r w:rsidR="002B664F" w:rsidRPr="00720C8D">
        <w:t>“ (dále jen „</w:t>
      </w:r>
      <w:r w:rsidR="002B664F" w:rsidRPr="00720C8D">
        <w:rPr>
          <w:b/>
        </w:rPr>
        <w:t>zakázka</w:t>
      </w:r>
      <w:r w:rsidR="002B664F" w:rsidRPr="00720C8D">
        <w:t>“), v sou</w:t>
      </w:r>
      <w:r w:rsidR="00E04236" w:rsidRPr="00720C8D">
        <w:t xml:space="preserve">ladu s Příručkou pro zadávání veřejných zakázek Programu rozvoje venkova </w:t>
      </w:r>
      <w:proofErr w:type="gramStart"/>
      <w:r w:rsidR="00E04236" w:rsidRPr="00720C8D">
        <w:t>2014 – 2020</w:t>
      </w:r>
      <w:proofErr w:type="gramEnd"/>
      <w:r w:rsidR="00E04236" w:rsidRPr="00720C8D">
        <w:t>.</w:t>
      </w:r>
    </w:p>
    <w:p w14:paraId="3D8E1951" w14:textId="77777777" w:rsidR="004E2B52" w:rsidRPr="00720C8D" w:rsidRDefault="004E2B52" w:rsidP="004C23D0"/>
    <w:p w14:paraId="0F6E14E4" w14:textId="77777777" w:rsidR="00506E2B" w:rsidRPr="00720C8D" w:rsidRDefault="006B72FB" w:rsidP="002B7867">
      <w:pPr>
        <w:pStyle w:val="Nadpis1"/>
      </w:pPr>
      <w:r>
        <w:t>PŘEDMĚT KOUPĚ</w:t>
      </w:r>
    </w:p>
    <w:p w14:paraId="0D2427DA" w14:textId="77777777" w:rsidR="002B664F" w:rsidRDefault="00D327C4" w:rsidP="004C23D0">
      <w:r>
        <w:t xml:space="preserve">1. </w:t>
      </w:r>
      <w:r w:rsidR="00506E2B" w:rsidRPr="00720C8D">
        <w:t xml:space="preserve">Předmětem této smlouvy je </w:t>
      </w:r>
      <w:r w:rsidR="000137C5" w:rsidRPr="00720C8D">
        <w:t>závazek prodávajícího dodat nové nepoužité</w:t>
      </w:r>
      <w:r w:rsidR="00506E2B" w:rsidRPr="00720C8D">
        <w:t xml:space="preserve"> </w:t>
      </w:r>
      <w:r w:rsidR="000137C5" w:rsidRPr="00720C8D">
        <w:t>technologie</w:t>
      </w:r>
      <w:r w:rsidR="00506E2B" w:rsidRPr="00720C8D">
        <w:t xml:space="preserve"> dle t</w:t>
      </w:r>
      <w:r w:rsidR="006B72FB">
        <w:t>echnické specifikace uvedené v P</w:t>
      </w:r>
      <w:r w:rsidR="00506E2B" w:rsidRPr="00720C8D">
        <w:t xml:space="preserve">říloze č. I této smlouvy. </w:t>
      </w:r>
      <w:r w:rsidR="00B84790" w:rsidRPr="00720C8D">
        <w:t>Jedná se o:</w:t>
      </w:r>
    </w:p>
    <w:p w14:paraId="3F199270" w14:textId="65F0865C" w:rsidR="00902752" w:rsidRPr="004C23D0" w:rsidRDefault="008E0CED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8E0CED">
        <w:rPr>
          <w:rFonts w:asciiTheme="minorHAnsi" w:hAnsiTheme="minorHAnsi" w:cstheme="minorHAnsi"/>
        </w:rPr>
        <w:t>ydraulick</w:t>
      </w:r>
      <w:r>
        <w:rPr>
          <w:rFonts w:asciiTheme="minorHAnsi" w:hAnsiTheme="minorHAnsi" w:cstheme="minorHAnsi"/>
        </w:rPr>
        <w:t>ý</w:t>
      </w:r>
      <w:r w:rsidRPr="008E0CED">
        <w:rPr>
          <w:rFonts w:asciiTheme="minorHAnsi" w:hAnsiTheme="minorHAnsi" w:cstheme="minorHAnsi"/>
        </w:rPr>
        <w:t xml:space="preserve"> manipulátor</w:t>
      </w:r>
      <w:r w:rsidRPr="008E0CED">
        <w:rPr>
          <w:rFonts w:asciiTheme="minorHAnsi" w:hAnsiTheme="minorHAnsi" w:cstheme="minorHAnsi"/>
        </w:rPr>
        <w:t xml:space="preserve"> </w:t>
      </w:r>
      <w:r w:rsidR="006B72FB">
        <w:rPr>
          <w:rFonts w:asciiTheme="minorHAnsi" w:hAnsiTheme="minorHAnsi" w:cstheme="minorHAnsi"/>
        </w:rPr>
        <w:t>(dále jako „Předmět koupě“)</w:t>
      </w:r>
    </w:p>
    <w:p w14:paraId="5313AE06" w14:textId="77777777" w:rsidR="006B72FB" w:rsidRDefault="006B72FB" w:rsidP="004C23D0"/>
    <w:p w14:paraId="35080621" w14:textId="77777777" w:rsidR="006B72FB" w:rsidRPr="006B72FB" w:rsidRDefault="006B72FB" w:rsidP="006B72FB">
      <w:bookmarkStart w:id="0" w:name="_Ref269288182"/>
      <w:r>
        <w:lastRenderedPageBreak/>
        <w:t xml:space="preserve">2. </w:t>
      </w:r>
      <w:r w:rsidRPr="006B72FB">
        <w:t xml:space="preserve">Prodávající je povinen dodat </w:t>
      </w:r>
      <w:r>
        <w:t>Předmět koupě</w:t>
      </w:r>
      <w:r w:rsidRPr="006B72FB">
        <w:t xml:space="preserve"> Kupujícímu spolu se všemi doklady a dokumenty vztahujícími se ke Zboží ve smyslu ustanovení § 2087 Občanského zákoníku. Doklady a dokumenty musí být Kupujícímu předány v českém jazyce zároveň s příslušným </w:t>
      </w:r>
      <w:r>
        <w:t>Předmětem koupě</w:t>
      </w:r>
      <w:r w:rsidRPr="006B72FB">
        <w:t>. Pokud je doklad či dokument vyhotovován pouze v cizojazyčné verzi, musí být Kupujícímu předán jeho věrný překlad do českého jazyka.</w:t>
      </w:r>
      <w:bookmarkEnd w:id="0"/>
      <w:r w:rsidRPr="006B72FB">
        <w:t xml:space="preserve"> Doklady, dokumenty a příslušenství, které Kupující požaduje dodat spolu s příslušným </w:t>
      </w:r>
      <w:r>
        <w:t>Předmětem koupě</w:t>
      </w:r>
      <w:r w:rsidRPr="006B72FB">
        <w:t>, jsou zejména:</w:t>
      </w:r>
    </w:p>
    <w:p w14:paraId="0FDFF3B0" w14:textId="77777777" w:rsidR="006B72FB" w:rsidRDefault="006B72FB" w:rsidP="006B72FB">
      <w:pPr>
        <w:pStyle w:val="Odstavecseseznamem"/>
        <w:numPr>
          <w:ilvl w:val="0"/>
          <w:numId w:val="30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 w:rsidRPr="006B72FB">
        <w:rPr>
          <w:rFonts w:asciiTheme="minorHAnsi" w:hAnsiTheme="minorHAnsi" w:cstheme="minorHAnsi"/>
          <w:color w:val="000000"/>
          <w:szCs w:val="22"/>
        </w:rPr>
        <w:t>technický průkaz ve vztahu k </w:t>
      </w:r>
      <w:r>
        <w:rPr>
          <w:rFonts w:asciiTheme="minorHAnsi" w:hAnsiTheme="minorHAnsi" w:cstheme="minorHAnsi"/>
          <w:color w:val="000000"/>
          <w:szCs w:val="22"/>
        </w:rPr>
        <w:t>P</w:t>
      </w:r>
      <w:r w:rsidRPr="006B72FB">
        <w:rPr>
          <w:rFonts w:asciiTheme="minorHAnsi" w:hAnsiTheme="minorHAnsi" w:cstheme="minorHAnsi"/>
          <w:color w:val="000000"/>
          <w:szCs w:val="22"/>
        </w:rPr>
        <w:t>ředmětu koupě</w:t>
      </w:r>
    </w:p>
    <w:p w14:paraId="1D94564B" w14:textId="77777777" w:rsidR="006B72FB" w:rsidRPr="006B72FB" w:rsidRDefault="006B72FB" w:rsidP="006B72FB">
      <w:pPr>
        <w:pStyle w:val="Odstavecseseznamem"/>
        <w:numPr>
          <w:ilvl w:val="0"/>
          <w:numId w:val="30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 w:rsidRPr="006B72FB">
        <w:rPr>
          <w:rFonts w:asciiTheme="minorHAnsi" w:hAnsiTheme="minorHAnsi" w:cstheme="minorHAnsi"/>
          <w:color w:val="000000"/>
          <w:szCs w:val="22"/>
        </w:rPr>
        <w:t>servisní knížka ve vztahu k </w:t>
      </w:r>
      <w:r>
        <w:rPr>
          <w:rFonts w:asciiTheme="minorHAnsi" w:hAnsiTheme="minorHAnsi" w:cstheme="minorHAnsi"/>
          <w:color w:val="000000"/>
          <w:szCs w:val="22"/>
        </w:rPr>
        <w:t>P</w:t>
      </w:r>
      <w:r w:rsidRPr="006B72FB">
        <w:rPr>
          <w:rFonts w:asciiTheme="minorHAnsi" w:hAnsiTheme="minorHAnsi" w:cstheme="minorHAnsi"/>
          <w:color w:val="000000"/>
          <w:szCs w:val="22"/>
        </w:rPr>
        <w:t>ředmětu koupě</w:t>
      </w:r>
    </w:p>
    <w:p w14:paraId="5EBF4D4B" w14:textId="77777777" w:rsidR="0053280E" w:rsidRDefault="006B72FB" w:rsidP="006B72FB">
      <w:pPr>
        <w:pStyle w:val="Odstavecseseznamem"/>
        <w:numPr>
          <w:ilvl w:val="0"/>
          <w:numId w:val="30"/>
        </w:numPr>
        <w:spacing w:before="0" w:after="0"/>
        <w:rPr>
          <w:rFonts w:asciiTheme="minorHAnsi" w:hAnsiTheme="minorHAnsi" w:cstheme="minorHAnsi"/>
          <w:color w:val="000000"/>
          <w:szCs w:val="22"/>
        </w:rPr>
      </w:pPr>
      <w:r w:rsidRPr="0053280E">
        <w:rPr>
          <w:rFonts w:asciiTheme="minorHAnsi" w:hAnsiTheme="minorHAnsi" w:cstheme="minorHAnsi"/>
          <w:color w:val="000000"/>
          <w:szCs w:val="22"/>
        </w:rPr>
        <w:t>návod k obsluze a úd</w:t>
      </w:r>
      <w:r w:rsidR="0053280E">
        <w:rPr>
          <w:rFonts w:asciiTheme="minorHAnsi" w:hAnsiTheme="minorHAnsi" w:cstheme="minorHAnsi"/>
          <w:color w:val="000000"/>
          <w:szCs w:val="22"/>
        </w:rPr>
        <w:t>ržbě ve vztahu k Předmětu koupě</w:t>
      </w:r>
    </w:p>
    <w:p w14:paraId="6C050C1D" w14:textId="77777777" w:rsidR="006B72FB" w:rsidRPr="006B72FB" w:rsidRDefault="006B72FB" w:rsidP="006B72FB">
      <w:pPr>
        <w:tabs>
          <w:tab w:val="num" w:pos="1200"/>
        </w:tabs>
        <w:ind w:left="1195" w:hanging="720"/>
        <w:rPr>
          <w:rFonts w:cstheme="minorHAnsi"/>
          <w:color w:val="000000"/>
          <w:szCs w:val="22"/>
        </w:rPr>
      </w:pPr>
      <w:r w:rsidRPr="006B72FB">
        <w:rPr>
          <w:rFonts w:cstheme="minorHAnsi"/>
          <w:color w:val="000000"/>
          <w:szCs w:val="22"/>
        </w:rPr>
        <w:t>(dále jen „Dokumentace“).</w:t>
      </w:r>
    </w:p>
    <w:p w14:paraId="18AE9485" w14:textId="77777777" w:rsidR="00902752" w:rsidRDefault="006B72FB" w:rsidP="004C23D0">
      <w:r>
        <w:t>3</w:t>
      </w:r>
      <w:r w:rsidR="00902752" w:rsidRPr="00902752">
        <w:t>. Součástí p</w:t>
      </w:r>
      <w:r w:rsidR="0053280E">
        <w:t>lnění je doprava P</w:t>
      </w:r>
      <w:r w:rsidR="00902752" w:rsidRPr="00902752">
        <w:t xml:space="preserve">ředmětu </w:t>
      </w:r>
      <w:r w:rsidR="0053280E">
        <w:t>koupě</w:t>
      </w:r>
      <w:r w:rsidR="00902752" w:rsidRPr="00902752">
        <w:t xml:space="preserve"> jako celku do sídla </w:t>
      </w:r>
      <w:r>
        <w:t xml:space="preserve">kupujícího, uvedení do provozu a </w:t>
      </w:r>
      <w:r w:rsidR="00902752" w:rsidRPr="00902752">
        <w:t xml:space="preserve">zaškolení obsluhy, </w:t>
      </w:r>
    </w:p>
    <w:p w14:paraId="7C848004" w14:textId="77777777" w:rsidR="004E2B52" w:rsidRDefault="00AB1F1C" w:rsidP="004C23D0">
      <w:r>
        <w:t>4</w:t>
      </w:r>
      <w:r w:rsidR="00902752">
        <w:t xml:space="preserve">. </w:t>
      </w:r>
      <w:r w:rsidR="00902752" w:rsidRPr="00720C8D">
        <w:t>Závazek kupujícího</w:t>
      </w:r>
      <w:r w:rsidR="0053280E">
        <w:t xml:space="preserve"> je</w:t>
      </w:r>
      <w:r w:rsidR="00902752" w:rsidRPr="00720C8D">
        <w:t xml:space="preserve"> </w:t>
      </w:r>
      <w:r w:rsidR="0053280E">
        <w:t>Předmět</w:t>
      </w:r>
      <w:r w:rsidR="00902752" w:rsidRPr="00720C8D">
        <w:t xml:space="preserve"> </w:t>
      </w:r>
      <w:r w:rsidR="0053280E">
        <w:t>koupě</w:t>
      </w:r>
      <w:r w:rsidR="00902752" w:rsidRPr="00720C8D">
        <w:t xml:space="preserve"> odebrat a zaplatit dohodnutou cenu dle článku 4 této smlouvy.</w:t>
      </w:r>
    </w:p>
    <w:p w14:paraId="02300128" w14:textId="77777777" w:rsidR="004E2B52" w:rsidRDefault="004E2B52" w:rsidP="004C23D0"/>
    <w:p w14:paraId="06A91DFF" w14:textId="77777777" w:rsidR="002B664F" w:rsidRPr="00720C8D" w:rsidRDefault="00BD78B2" w:rsidP="002B7867">
      <w:pPr>
        <w:pStyle w:val="Nadpis1"/>
        <w:rPr>
          <w:snapToGrid w:val="0"/>
        </w:rPr>
      </w:pPr>
      <w:r w:rsidRPr="00720C8D">
        <w:t>KUPNÍ CENA</w:t>
      </w:r>
    </w:p>
    <w:p w14:paraId="20F0778A" w14:textId="77777777" w:rsidR="002B664F" w:rsidRPr="00720C8D" w:rsidRDefault="00D327C4" w:rsidP="002B7867">
      <w:pPr>
        <w:spacing w:line="276" w:lineRule="auto"/>
        <w:rPr>
          <w:rFonts w:cstheme="minorHAnsi"/>
          <w:snapToGrid w:val="0"/>
          <w:szCs w:val="22"/>
        </w:rPr>
      </w:pPr>
      <w:r>
        <w:rPr>
          <w:rFonts w:cstheme="minorHAnsi"/>
          <w:snapToGrid w:val="0"/>
          <w:szCs w:val="22"/>
        </w:rPr>
        <w:t xml:space="preserve">1. </w:t>
      </w:r>
      <w:r w:rsidR="002B664F" w:rsidRPr="00720C8D">
        <w:rPr>
          <w:rFonts w:cstheme="minorHAnsi"/>
          <w:snapToGrid w:val="0"/>
          <w:szCs w:val="22"/>
        </w:rPr>
        <w:t>Kupující uhradí kupní cenu stanovenou v nabídce ve výběrovém řízení zakázky, v následující výši: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99"/>
        <w:gridCol w:w="1685"/>
        <w:gridCol w:w="1683"/>
        <w:gridCol w:w="1685"/>
      </w:tblGrid>
      <w:tr w:rsidR="000137C5" w:rsidRPr="00720C8D" w14:paraId="661BBEC5" w14:textId="77777777" w:rsidTr="0053280E">
        <w:trPr>
          <w:trHeight w:val="336"/>
        </w:trPr>
        <w:tc>
          <w:tcPr>
            <w:tcW w:w="3960" w:type="dxa"/>
            <w:vAlign w:val="center"/>
          </w:tcPr>
          <w:p w14:paraId="4426A092" w14:textId="77777777" w:rsidR="000137C5" w:rsidRPr="00720C8D" w:rsidRDefault="000137C5" w:rsidP="002B7867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720C8D">
              <w:rPr>
                <w:rFonts w:cstheme="minorHAnsi"/>
                <w:b/>
              </w:rPr>
              <w:t>Technologie</w:t>
            </w:r>
          </w:p>
        </w:tc>
        <w:tc>
          <w:tcPr>
            <w:tcW w:w="1704" w:type="dxa"/>
            <w:vAlign w:val="center"/>
          </w:tcPr>
          <w:p w14:paraId="18EADB85" w14:textId="77777777" w:rsidR="000137C5" w:rsidRPr="00720C8D" w:rsidRDefault="000137C5" w:rsidP="002B7867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720C8D">
              <w:rPr>
                <w:rFonts w:cstheme="minorHAnsi"/>
                <w:b/>
              </w:rPr>
              <w:t>Cena celkem bez DPH</w:t>
            </w:r>
          </w:p>
        </w:tc>
        <w:tc>
          <w:tcPr>
            <w:tcW w:w="1704" w:type="dxa"/>
            <w:vAlign w:val="center"/>
          </w:tcPr>
          <w:p w14:paraId="04F42A47" w14:textId="77777777" w:rsidR="000137C5" w:rsidRPr="00720C8D" w:rsidRDefault="000137C5" w:rsidP="002B7867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720C8D">
              <w:rPr>
                <w:rFonts w:cstheme="minorHAnsi"/>
                <w:b/>
              </w:rPr>
              <w:t>Částka DPH</w:t>
            </w:r>
          </w:p>
        </w:tc>
        <w:tc>
          <w:tcPr>
            <w:tcW w:w="1704" w:type="dxa"/>
            <w:vAlign w:val="center"/>
          </w:tcPr>
          <w:p w14:paraId="260698AC" w14:textId="77777777" w:rsidR="000137C5" w:rsidRPr="00720C8D" w:rsidRDefault="000137C5" w:rsidP="002B7867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720C8D">
              <w:rPr>
                <w:rFonts w:cstheme="minorHAnsi"/>
                <w:b/>
              </w:rPr>
              <w:t>Cena celkem včetně DPH</w:t>
            </w:r>
          </w:p>
        </w:tc>
      </w:tr>
      <w:tr w:rsidR="000137C5" w:rsidRPr="00720C8D" w14:paraId="03330EC1" w14:textId="77777777" w:rsidTr="0053280E">
        <w:tc>
          <w:tcPr>
            <w:tcW w:w="3960" w:type="dxa"/>
            <w:vAlign w:val="center"/>
          </w:tcPr>
          <w:p w14:paraId="517285EC" w14:textId="28605C98" w:rsidR="000137C5" w:rsidRPr="00720C8D" w:rsidRDefault="00D23153" w:rsidP="005E54BB">
            <w:pPr>
              <w:spacing w:before="80" w:after="8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D23153">
              <w:rPr>
                <w:rFonts w:cstheme="minorHAnsi"/>
              </w:rPr>
              <w:t>ydraulick</w:t>
            </w:r>
            <w:r>
              <w:rPr>
                <w:rFonts w:cstheme="minorHAnsi"/>
              </w:rPr>
              <w:t>ý</w:t>
            </w:r>
            <w:r w:rsidRPr="00D23153">
              <w:rPr>
                <w:rFonts w:cstheme="minorHAnsi"/>
              </w:rPr>
              <w:t xml:space="preserve"> manipulátor</w:t>
            </w:r>
          </w:p>
        </w:tc>
        <w:tc>
          <w:tcPr>
            <w:tcW w:w="1704" w:type="dxa"/>
            <w:vAlign w:val="center"/>
          </w:tcPr>
          <w:p w14:paraId="3188A054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highlight w:val="yellow"/>
              </w:rPr>
            </w:pPr>
            <w:r w:rsidRPr="0053280E">
              <w:rPr>
                <w:rFonts w:cstheme="minorHAnsi"/>
                <w:highlight w:val="yellow"/>
              </w:rPr>
              <w:t>XY</w:t>
            </w:r>
          </w:p>
        </w:tc>
        <w:tc>
          <w:tcPr>
            <w:tcW w:w="1704" w:type="dxa"/>
            <w:vAlign w:val="center"/>
          </w:tcPr>
          <w:p w14:paraId="617B7813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highlight w:val="yellow"/>
              </w:rPr>
            </w:pPr>
            <w:r w:rsidRPr="0053280E">
              <w:rPr>
                <w:rFonts w:cstheme="minorHAnsi"/>
                <w:highlight w:val="yellow"/>
              </w:rPr>
              <w:t>XY</w:t>
            </w:r>
          </w:p>
        </w:tc>
        <w:tc>
          <w:tcPr>
            <w:tcW w:w="1704" w:type="dxa"/>
            <w:vAlign w:val="center"/>
          </w:tcPr>
          <w:p w14:paraId="58BA6EA1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highlight w:val="yellow"/>
              </w:rPr>
            </w:pPr>
            <w:r w:rsidRPr="0053280E">
              <w:rPr>
                <w:rFonts w:cstheme="minorHAnsi"/>
                <w:highlight w:val="yellow"/>
              </w:rPr>
              <w:t>XY</w:t>
            </w:r>
          </w:p>
        </w:tc>
      </w:tr>
      <w:tr w:rsidR="000137C5" w:rsidRPr="00720C8D" w14:paraId="79B93B37" w14:textId="77777777" w:rsidTr="0053280E">
        <w:tc>
          <w:tcPr>
            <w:tcW w:w="3960" w:type="dxa"/>
            <w:vAlign w:val="center"/>
          </w:tcPr>
          <w:p w14:paraId="58C9A3AE" w14:textId="77777777" w:rsidR="000137C5" w:rsidRPr="00720C8D" w:rsidRDefault="000137C5" w:rsidP="002B7867">
            <w:pPr>
              <w:spacing w:before="80" w:after="80" w:line="276" w:lineRule="auto"/>
              <w:rPr>
                <w:rFonts w:cstheme="minorHAnsi"/>
                <w:b/>
              </w:rPr>
            </w:pPr>
            <w:r w:rsidRPr="00720C8D">
              <w:rPr>
                <w:rFonts w:cstheme="minorHAnsi"/>
                <w:b/>
              </w:rPr>
              <w:t>CELKOVÁ NABÍDKOVÁ CENA</w:t>
            </w:r>
          </w:p>
        </w:tc>
        <w:tc>
          <w:tcPr>
            <w:tcW w:w="1704" w:type="dxa"/>
            <w:vAlign w:val="center"/>
          </w:tcPr>
          <w:p w14:paraId="4A993270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3280E">
              <w:rPr>
                <w:rFonts w:cstheme="minorHAnsi"/>
                <w:b/>
                <w:highlight w:val="yellow"/>
              </w:rPr>
              <w:t>XY</w:t>
            </w:r>
          </w:p>
        </w:tc>
        <w:tc>
          <w:tcPr>
            <w:tcW w:w="1704" w:type="dxa"/>
            <w:vAlign w:val="center"/>
          </w:tcPr>
          <w:p w14:paraId="7230D690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3280E">
              <w:rPr>
                <w:rFonts w:cstheme="minorHAnsi"/>
                <w:b/>
                <w:highlight w:val="yellow"/>
              </w:rPr>
              <w:t>XY</w:t>
            </w:r>
          </w:p>
        </w:tc>
        <w:tc>
          <w:tcPr>
            <w:tcW w:w="1704" w:type="dxa"/>
            <w:vAlign w:val="center"/>
          </w:tcPr>
          <w:p w14:paraId="56A45762" w14:textId="77777777" w:rsidR="000137C5" w:rsidRPr="0053280E" w:rsidRDefault="0053280E" w:rsidP="0053280E">
            <w:pPr>
              <w:spacing w:before="60" w:after="60" w:line="276" w:lineRule="auto"/>
              <w:jc w:val="center"/>
              <w:rPr>
                <w:rFonts w:cstheme="minorHAnsi"/>
                <w:b/>
                <w:highlight w:val="yellow"/>
              </w:rPr>
            </w:pPr>
            <w:r w:rsidRPr="0053280E">
              <w:rPr>
                <w:rFonts w:cstheme="minorHAnsi"/>
                <w:b/>
                <w:highlight w:val="yellow"/>
              </w:rPr>
              <w:t>XY</w:t>
            </w:r>
          </w:p>
        </w:tc>
      </w:tr>
    </w:tbl>
    <w:p w14:paraId="5221AD68" w14:textId="77777777" w:rsidR="00902752" w:rsidRDefault="00D327C4" w:rsidP="004C23D0">
      <w:pPr>
        <w:rPr>
          <w:snapToGrid w:val="0"/>
        </w:rPr>
      </w:pPr>
      <w:r>
        <w:t xml:space="preserve">2. </w:t>
      </w:r>
      <w:r w:rsidR="00BD78B2" w:rsidRPr="00720C8D">
        <w:t xml:space="preserve">Kupující nebude poskytovat „před“ zahájením </w:t>
      </w:r>
      <w:r w:rsidR="00F91F40">
        <w:t>P</w:t>
      </w:r>
      <w:r w:rsidR="00BD78B2" w:rsidRPr="00720C8D">
        <w:t xml:space="preserve">ředmětu </w:t>
      </w:r>
      <w:r w:rsidR="00F91F40">
        <w:t>koupě</w:t>
      </w:r>
      <w:r w:rsidR="00BD78B2" w:rsidRPr="00720C8D">
        <w:t xml:space="preserve"> žádnou zálohu. Platba bude provedena bezhotovostně bankovním převodem na účet prodávajícího.</w:t>
      </w:r>
      <w:r w:rsidR="002B7867">
        <w:t xml:space="preserve"> </w:t>
      </w:r>
      <w:r w:rsidR="00BD78B2" w:rsidRPr="00720C8D">
        <w:rPr>
          <w:snapToGrid w:val="0"/>
        </w:rPr>
        <w:t xml:space="preserve">Prodávající se zavazuje neúčtovat žádné další výlohy nad rámec nabídky spojené s dodávkou </w:t>
      </w:r>
      <w:r w:rsidR="00F91F40">
        <w:rPr>
          <w:snapToGrid w:val="0"/>
        </w:rPr>
        <w:t>Předmětu koupě.</w:t>
      </w:r>
    </w:p>
    <w:p w14:paraId="71065581" w14:textId="77777777" w:rsidR="00902752" w:rsidRDefault="00902752" w:rsidP="004C23D0">
      <w:r>
        <w:rPr>
          <w:snapToGrid w:val="0"/>
        </w:rPr>
        <w:t xml:space="preserve">3. </w:t>
      </w:r>
      <w:r w:rsidRPr="00902752">
        <w:t>Cena je pevná po navrženou dobu plnění této smlouvy a nejvýše přípustná.</w:t>
      </w:r>
    </w:p>
    <w:p w14:paraId="1B0B3731" w14:textId="77777777" w:rsidR="004E2B52" w:rsidRDefault="004E2B52" w:rsidP="004C23D0">
      <w:pPr>
        <w:rPr>
          <w:snapToGrid w:val="0"/>
        </w:rPr>
      </w:pPr>
    </w:p>
    <w:p w14:paraId="18511A0F" w14:textId="77777777" w:rsidR="00BD78B2" w:rsidRPr="00902752" w:rsidRDefault="00BD78B2" w:rsidP="00902752">
      <w:pPr>
        <w:pStyle w:val="Nadpis1"/>
      </w:pPr>
      <w:r w:rsidRPr="00902752">
        <w:t>PLATEBNÍ PODMÍNKY</w:t>
      </w:r>
    </w:p>
    <w:p w14:paraId="7A618152" w14:textId="77777777" w:rsidR="00BD78B2" w:rsidRPr="00902752" w:rsidRDefault="00D327C4" w:rsidP="004C23D0">
      <w:pPr>
        <w:rPr>
          <w:snapToGrid w:val="0"/>
        </w:rPr>
      </w:pPr>
      <w:r>
        <w:rPr>
          <w:snapToGrid w:val="0"/>
        </w:rPr>
        <w:t xml:space="preserve">1. </w:t>
      </w:r>
      <w:r w:rsidR="002B664F" w:rsidRPr="00720C8D">
        <w:rPr>
          <w:snapToGrid w:val="0"/>
        </w:rPr>
        <w:t xml:space="preserve">Kupující je povinen uhradit kupní cenu na základě vystaveného daňového dokladu. Splatnost daňového </w:t>
      </w:r>
      <w:r w:rsidR="002B664F" w:rsidRPr="00B455EC">
        <w:rPr>
          <w:snapToGrid w:val="0"/>
        </w:rPr>
        <w:t xml:space="preserve">dokladu je </w:t>
      </w:r>
      <w:r w:rsidR="007D29A7" w:rsidRPr="00B455EC">
        <w:rPr>
          <w:snapToGrid w:val="0"/>
        </w:rPr>
        <w:t>30</w:t>
      </w:r>
      <w:r w:rsidR="002B664F" w:rsidRPr="00B455EC">
        <w:rPr>
          <w:snapToGrid w:val="0"/>
        </w:rPr>
        <w:t xml:space="preserve"> dní ode</w:t>
      </w:r>
      <w:r w:rsidR="002B664F" w:rsidRPr="00720C8D">
        <w:rPr>
          <w:snapToGrid w:val="0"/>
        </w:rPr>
        <w:t xml:space="preserve"> dne doručení daňového dokladu kupujícímu. Daňový doklad musí být vystaven na základě předávacího protokolu potvrzeného oběma smluvními stranami.</w:t>
      </w:r>
      <w:r w:rsidR="00854DE5" w:rsidRPr="00720C8D">
        <w:rPr>
          <w:snapToGrid w:val="0"/>
        </w:rPr>
        <w:t xml:space="preserve"> Za datum uskutečněného zdanitelného plnění pro DPH je považován den podpisu předá</w:t>
      </w:r>
      <w:r w:rsidR="000137C5" w:rsidRPr="00720C8D">
        <w:rPr>
          <w:snapToGrid w:val="0"/>
        </w:rPr>
        <w:t>vacího protokolu oběma smluvními</w:t>
      </w:r>
      <w:r w:rsidR="00854DE5" w:rsidRPr="00720C8D">
        <w:rPr>
          <w:snapToGrid w:val="0"/>
        </w:rPr>
        <w:t xml:space="preserve"> stranami.</w:t>
      </w:r>
    </w:p>
    <w:p w14:paraId="09AB18C2" w14:textId="77777777" w:rsidR="002B664F" w:rsidRDefault="00D327C4" w:rsidP="004C23D0">
      <w:r>
        <w:t xml:space="preserve">2. </w:t>
      </w:r>
      <w:r w:rsidR="002B664F" w:rsidRPr="00720C8D"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  <w:r w:rsidR="00902752">
        <w:t xml:space="preserve"> Daňový doklad</w:t>
      </w:r>
      <w:r w:rsidR="00902752" w:rsidRPr="006241E0">
        <w:t xml:space="preserve"> bude odpovídat Pravidlům Programu Rozvoje venkova.</w:t>
      </w:r>
    </w:p>
    <w:p w14:paraId="03E18899" w14:textId="77777777" w:rsidR="004E2B52" w:rsidRPr="00720C8D" w:rsidRDefault="004E2B52" w:rsidP="004C23D0"/>
    <w:p w14:paraId="7E41F8F2" w14:textId="77777777" w:rsidR="002B664F" w:rsidRPr="00720C8D" w:rsidRDefault="00B81E72" w:rsidP="002B7867">
      <w:pPr>
        <w:pStyle w:val="Nadpis1"/>
        <w:rPr>
          <w:snapToGrid w:val="0"/>
        </w:rPr>
      </w:pPr>
      <w:r w:rsidRPr="00720C8D">
        <w:rPr>
          <w:snapToGrid w:val="0"/>
        </w:rPr>
        <w:lastRenderedPageBreak/>
        <w:t>PROHLÁŠENÍ PRODÁVAJÍCÍ A KUPUJÍCÍ STRANY</w:t>
      </w:r>
    </w:p>
    <w:p w14:paraId="43F851ED" w14:textId="77777777" w:rsidR="002B664F" w:rsidRDefault="00D327C4" w:rsidP="004C23D0">
      <w:r>
        <w:t xml:space="preserve">1. </w:t>
      </w:r>
      <w:r w:rsidR="0053280E">
        <w:t>Prodávající prohlašuje, že na P</w:t>
      </w:r>
      <w:r w:rsidR="002B664F" w:rsidRPr="00720C8D">
        <w:t>ředmětu koupě neváznou žádné dluhy, zástavní práva, věcná břemena ani další práva třetích osob, že jí není známa existence předběžných opatření omezujících dispoziční prá</w:t>
      </w:r>
      <w:r w:rsidR="0053280E">
        <w:t>va s těmito movitými věcmi, že P</w:t>
      </w:r>
      <w:r w:rsidR="002B664F" w:rsidRPr="00720C8D">
        <w:t>ředmět koupě není předmětem výkonu rozhodnutí a má jakost a provedení v souladu s nabídkou ve výběrovém řízení zakázky.</w:t>
      </w:r>
      <w:r w:rsidR="00530732" w:rsidRPr="00720C8D">
        <w:t xml:space="preserve"> </w:t>
      </w:r>
      <w:r w:rsidR="002B664F" w:rsidRPr="00720C8D">
        <w:t>Prodá</w:t>
      </w:r>
      <w:r w:rsidR="0053280E">
        <w:t>vající výslovně prohlašuje, že P</w:t>
      </w:r>
      <w:r w:rsidR="002B664F" w:rsidRPr="00720C8D">
        <w:t xml:space="preserve">ředmět koupě dle čl. </w:t>
      </w:r>
      <w:r w:rsidR="00854DE5" w:rsidRPr="00720C8D">
        <w:t>II</w:t>
      </w:r>
      <w:r w:rsidR="002B664F" w:rsidRPr="00720C8D">
        <w:t>I je bez vad.</w:t>
      </w:r>
    </w:p>
    <w:p w14:paraId="286BCE3C" w14:textId="77777777" w:rsidR="004E2B52" w:rsidRPr="00720C8D" w:rsidRDefault="004E2B52" w:rsidP="004C23D0"/>
    <w:p w14:paraId="4AD3A52B" w14:textId="77777777" w:rsidR="002B664F" w:rsidRPr="00720C8D" w:rsidRDefault="00B81E72" w:rsidP="002B7867">
      <w:pPr>
        <w:pStyle w:val="Nadpis1"/>
      </w:pPr>
      <w:r w:rsidRPr="00720C8D">
        <w:t>DOBA PLNĚNÍ</w:t>
      </w:r>
    </w:p>
    <w:p w14:paraId="34744680" w14:textId="74336F23" w:rsidR="003B61EF" w:rsidRDefault="00D327C4" w:rsidP="004C23D0">
      <w:r>
        <w:t xml:space="preserve">1. </w:t>
      </w:r>
      <w:r w:rsidR="00F91F40">
        <w:t>Lhůta plnění P</w:t>
      </w:r>
      <w:r w:rsidR="000F6D52" w:rsidRPr="00720C8D">
        <w:t xml:space="preserve">ředmětu </w:t>
      </w:r>
      <w:r w:rsidR="00F91F40">
        <w:t>koupě</w:t>
      </w:r>
      <w:r w:rsidR="000F6D52" w:rsidRPr="00720C8D">
        <w:t xml:space="preserve"> </w:t>
      </w:r>
      <w:r w:rsidR="00E745F7">
        <w:t>je</w:t>
      </w:r>
      <w:r w:rsidR="00506B60" w:rsidRPr="00720C8D">
        <w:t xml:space="preserve"> nejpozději </w:t>
      </w:r>
      <w:r w:rsidR="005E54BB">
        <w:t>do 30. 9. 20</w:t>
      </w:r>
      <w:r w:rsidR="00D23153">
        <w:t>22</w:t>
      </w:r>
      <w:r w:rsidR="000F6D52" w:rsidRPr="00720C8D">
        <w:t>.</w:t>
      </w:r>
    </w:p>
    <w:p w14:paraId="6BC17B35" w14:textId="77777777" w:rsidR="004E2B52" w:rsidRPr="00720C8D" w:rsidRDefault="004E2B52" w:rsidP="004C23D0">
      <w:pPr>
        <w:rPr>
          <w:b/>
        </w:rPr>
      </w:pPr>
    </w:p>
    <w:p w14:paraId="78A090DE" w14:textId="77777777" w:rsidR="002B664F" w:rsidRPr="00720C8D" w:rsidRDefault="00B81E72" w:rsidP="002B7867">
      <w:pPr>
        <w:pStyle w:val="Nadpis1"/>
      </w:pPr>
      <w:r w:rsidRPr="00720C8D">
        <w:t>MÍSTO PLNĚNÍ</w:t>
      </w:r>
    </w:p>
    <w:p w14:paraId="42E29527" w14:textId="77777777" w:rsidR="002B664F" w:rsidRDefault="00D327C4" w:rsidP="00AB1F1C">
      <w:r>
        <w:t xml:space="preserve">1. </w:t>
      </w:r>
      <w:r w:rsidR="00506B60" w:rsidRPr="00720C8D">
        <w:t xml:space="preserve">Místo realizace plnění zakázky je </w:t>
      </w:r>
      <w:r w:rsidR="005E54BB">
        <w:rPr>
          <w:rFonts w:cstheme="minorHAnsi"/>
          <w:szCs w:val="22"/>
        </w:rPr>
        <w:t>Čachotín 84, 583 01 Chotěboř</w:t>
      </w:r>
      <w:r w:rsidR="00902752">
        <w:rPr>
          <w:b/>
          <w:color w:val="000000"/>
        </w:rPr>
        <w:t xml:space="preserve">, </w:t>
      </w:r>
      <w:r w:rsidR="002B664F" w:rsidRPr="00720C8D">
        <w:t>kde</w:t>
      </w:r>
      <w:r w:rsidR="00F91F40">
        <w:t xml:space="preserve"> proběhne odevzdání a převzetí P</w:t>
      </w:r>
      <w:r w:rsidR="002B664F" w:rsidRPr="00720C8D">
        <w:t>ředmětu koupě včet</w:t>
      </w:r>
      <w:r w:rsidR="00F91F40">
        <w:t>ně školení obsluhy, předvedení P</w:t>
      </w:r>
      <w:r w:rsidR="002B664F" w:rsidRPr="00720C8D">
        <w:t>ředmětu koupě a odevzdání veškerých dokladů potřebných k jeho užívání.</w:t>
      </w:r>
    </w:p>
    <w:p w14:paraId="0980C06E" w14:textId="77777777" w:rsidR="004E2B52" w:rsidRPr="00902752" w:rsidRDefault="004E2B52" w:rsidP="00AB1F1C">
      <w:pPr>
        <w:rPr>
          <w:b/>
          <w:color w:val="000000"/>
        </w:rPr>
      </w:pPr>
    </w:p>
    <w:p w14:paraId="2B62E579" w14:textId="77777777" w:rsidR="002B664F" w:rsidRPr="00720C8D" w:rsidRDefault="00B81E72" w:rsidP="002B7867">
      <w:pPr>
        <w:pStyle w:val="Nadpis1"/>
      </w:pPr>
      <w:r w:rsidRPr="00720C8D">
        <w:t>NABYTÍ VLASTNICKÉHO PRÁVA</w:t>
      </w:r>
    </w:p>
    <w:p w14:paraId="0C0A1E90" w14:textId="77777777" w:rsidR="00854DE5" w:rsidRPr="00720C8D" w:rsidRDefault="00D327C4" w:rsidP="004C23D0">
      <w:r>
        <w:t xml:space="preserve">1. </w:t>
      </w:r>
      <w:r w:rsidR="00F91F40">
        <w:t>Prodávající je vlastník P</w:t>
      </w:r>
      <w:r w:rsidR="00854DE5" w:rsidRPr="00720C8D">
        <w:t xml:space="preserve">ředmětu </w:t>
      </w:r>
      <w:r w:rsidR="0053280E">
        <w:t>koupě</w:t>
      </w:r>
      <w:r w:rsidR="00854DE5" w:rsidRPr="00720C8D">
        <w:t xml:space="preserve"> a nese nebezpečí škody (způsobenou vadou zboží) na něm </w:t>
      </w:r>
      <w:r w:rsidR="00F91F40">
        <w:t>do nabytí vlastnického práva k P</w:t>
      </w:r>
      <w:r w:rsidR="00854DE5" w:rsidRPr="00720C8D">
        <w:t xml:space="preserve">ředmětu </w:t>
      </w:r>
      <w:r w:rsidR="0053280E">
        <w:t>koupě</w:t>
      </w:r>
      <w:r w:rsidR="00854DE5" w:rsidRPr="00720C8D">
        <w:t xml:space="preserve"> kupujícím.</w:t>
      </w:r>
    </w:p>
    <w:p w14:paraId="7B43385A" w14:textId="77777777" w:rsidR="00F819A5" w:rsidRDefault="00D327C4" w:rsidP="004C23D0">
      <w:r>
        <w:t xml:space="preserve">2. </w:t>
      </w:r>
      <w:r w:rsidR="002B664F" w:rsidRPr="00720C8D">
        <w:t>Kupují</w:t>
      </w:r>
      <w:r w:rsidR="00F91F40">
        <w:t>cí nabývá vlastnického práva k P</w:t>
      </w:r>
      <w:r w:rsidR="002B664F" w:rsidRPr="00720C8D">
        <w:t>ředmětu koupě okamžikem odevzdání zboží prodávajícím a jeho převzetím kupujícím.</w:t>
      </w:r>
    </w:p>
    <w:p w14:paraId="5CD5BDD1" w14:textId="77777777" w:rsidR="004E2B52" w:rsidRPr="00720C8D" w:rsidRDefault="004E2B52" w:rsidP="004C23D0">
      <w:pPr>
        <w:rPr>
          <w:color w:val="008000"/>
        </w:rPr>
      </w:pPr>
    </w:p>
    <w:p w14:paraId="0EDFF523" w14:textId="77777777" w:rsidR="002B664F" w:rsidRPr="002B7867" w:rsidRDefault="00B81E72" w:rsidP="002B7867">
      <w:pPr>
        <w:pStyle w:val="Nadpis1"/>
        <w:ind w:left="714" w:hanging="357"/>
      </w:pPr>
      <w:r w:rsidRPr="002B7867">
        <w:t xml:space="preserve">NEBEZPEČÍ ŠKODY </w:t>
      </w:r>
      <w:r w:rsidR="007D7AF4" w:rsidRPr="002B7867">
        <w:t xml:space="preserve">A </w:t>
      </w:r>
      <w:r w:rsidRPr="002B7867">
        <w:t>NA</w:t>
      </w:r>
      <w:r w:rsidR="007D7AF4" w:rsidRPr="002B7867">
        <w:t>HRADA ŠKOD</w:t>
      </w:r>
    </w:p>
    <w:p w14:paraId="40CBFD02" w14:textId="77777777" w:rsidR="00C55F74" w:rsidRPr="00720C8D" w:rsidRDefault="00D327C4" w:rsidP="004C23D0">
      <w:r>
        <w:t xml:space="preserve">1. </w:t>
      </w:r>
      <w:r w:rsidR="00F91F40">
        <w:t>Nebezpečí škody na P</w:t>
      </w:r>
      <w:r w:rsidR="00C55F74" w:rsidRPr="00720C8D">
        <w:t xml:space="preserve">ředmětu </w:t>
      </w:r>
      <w:r w:rsidR="0053280E">
        <w:t>koupě</w:t>
      </w:r>
      <w:r w:rsidR="00C55F74" w:rsidRPr="00720C8D">
        <w:t xml:space="preserve"> přechází na kupujícího dnem protokolárního předání a převzetí.</w:t>
      </w:r>
    </w:p>
    <w:p w14:paraId="6CB5FF87" w14:textId="77777777" w:rsidR="00125E92" w:rsidRPr="00720C8D" w:rsidRDefault="00D327C4" w:rsidP="004C23D0">
      <w:r>
        <w:t xml:space="preserve">2. </w:t>
      </w:r>
      <w:r w:rsidR="00C55F74" w:rsidRPr="00720C8D">
        <w:t xml:space="preserve">Kupující po celou dobu, tj. do nabytí vlastnického práva </w:t>
      </w:r>
      <w:r w:rsidR="00F91F40">
        <w:t>k P</w:t>
      </w:r>
      <w:r w:rsidR="00125E92" w:rsidRPr="00720C8D">
        <w:t xml:space="preserve">ředmětu </w:t>
      </w:r>
      <w:r w:rsidR="0053280E">
        <w:t>koupě</w:t>
      </w:r>
      <w:r w:rsidR="00125E92" w:rsidRPr="00720C8D">
        <w:t>, vynaloží veškerou péči, kterou lze rozu</w:t>
      </w:r>
      <w:r w:rsidR="00F91F40">
        <w:t>mně považovat, aby ke škodě na P</w:t>
      </w:r>
      <w:r w:rsidR="00125E92" w:rsidRPr="00720C8D">
        <w:t xml:space="preserve">ředmětu </w:t>
      </w:r>
      <w:r w:rsidR="0053280E">
        <w:t>koupě</w:t>
      </w:r>
      <w:r w:rsidR="00125E92" w:rsidRPr="00720C8D">
        <w:t xml:space="preserve"> nedošlo. Toto nebezpečí škody nezahrnuje škodu způsobenou vadou zboží. </w:t>
      </w:r>
    </w:p>
    <w:p w14:paraId="1D18DB07" w14:textId="77777777" w:rsidR="002B664F" w:rsidRDefault="00D327C4" w:rsidP="004C23D0">
      <w:r w:rsidRPr="00B455EC">
        <w:t xml:space="preserve">3. </w:t>
      </w:r>
      <w:r w:rsidR="00CE0E20" w:rsidRPr="00B455EC">
        <w:t>Kupující je povinen prokázat, že škodě nešlo zabránit jiným způsobem.</w:t>
      </w:r>
    </w:p>
    <w:p w14:paraId="5D974E1E" w14:textId="77777777" w:rsidR="004E2B52" w:rsidRPr="00CE0E20" w:rsidRDefault="004E2B52" w:rsidP="004C23D0">
      <w:pPr>
        <w:rPr>
          <w:color w:val="FF0000"/>
        </w:rPr>
      </w:pPr>
    </w:p>
    <w:p w14:paraId="109CC60B" w14:textId="77777777" w:rsidR="00E03840" w:rsidRPr="00720C8D" w:rsidRDefault="00B81E72" w:rsidP="005E54BB">
      <w:pPr>
        <w:pStyle w:val="Nadpis1"/>
      </w:pPr>
      <w:r w:rsidRPr="00720C8D">
        <w:t>POKUTY</w:t>
      </w:r>
    </w:p>
    <w:p w14:paraId="6966521C" w14:textId="77777777" w:rsidR="00E03840" w:rsidRPr="00720C8D" w:rsidRDefault="005E54BB" w:rsidP="004C23D0">
      <w:r>
        <w:t>1</w:t>
      </w:r>
      <w:r w:rsidR="00D327C4">
        <w:t xml:space="preserve">. </w:t>
      </w:r>
      <w:r w:rsidR="00E03840" w:rsidRPr="00720C8D">
        <w:t xml:space="preserve">Při prodlení s úhradou faktury má dodavatel právo uplatnit </w:t>
      </w:r>
      <w:r>
        <w:t xml:space="preserve">zákonný úrok z prodlení. </w:t>
      </w:r>
    </w:p>
    <w:p w14:paraId="1568EC44" w14:textId="77777777" w:rsidR="00C22B1F" w:rsidRDefault="005D300A" w:rsidP="004C23D0">
      <w:r>
        <w:t>2.</w:t>
      </w:r>
      <w:r w:rsidR="00D327C4">
        <w:t xml:space="preserve"> </w:t>
      </w:r>
      <w:r w:rsidR="00C22B1F" w:rsidRPr="00720C8D">
        <w:t>Smluvní po</w:t>
      </w:r>
      <w:r w:rsidR="0064765B" w:rsidRPr="00720C8D">
        <w:t>kuty jsou dospělé/splatné</w:t>
      </w:r>
      <w:r w:rsidR="00C22B1F" w:rsidRPr="00720C8D">
        <w:t xml:space="preserve"> do 30 dnů po doručení oznámení o uložení smluvní pokuty druhé smluvní straně. Oznámení o uložení smluvní pokuty musí vždy obsahovat popis a časové určení události, která v souladu s uzavřenou smlouvou zakládá právo smluvní strany účtovat smluvní pokutu. Oznámení musí dále obsahovat informaci o</w:t>
      </w:r>
      <w:r w:rsidR="0053280E">
        <w:t xml:space="preserve"> způsobu úhrady smluvní pokuty.</w:t>
      </w:r>
    </w:p>
    <w:p w14:paraId="753CBC59" w14:textId="77777777" w:rsidR="004E2B52" w:rsidRDefault="004E2B52" w:rsidP="004C23D0"/>
    <w:p w14:paraId="3612A5C2" w14:textId="77777777" w:rsidR="002B664F" w:rsidRPr="00720C8D" w:rsidRDefault="00B81E72" w:rsidP="002B7867">
      <w:pPr>
        <w:pStyle w:val="Nadpis1"/>
      </w:pPr>
      <w:r w:rsidRPr="00720C8D">
        <w:lastRenderedPageBreak/>
        <w:t>ZÁRUKA ZA JAKOST</w:t>
      </w:r>
    </w:p>
    <w:p w14:paraId="046DCE09" w14:textId="77777777" w:rsidR="00EE0B91" w:rsidRPr="002B7867" w:rsidRDefault="00D327C4" w:rsidP="004C23D0">
      <w:pPr>
        <w:rPr>
          <w:bCs/>
        </w:rPr>
      </w:pPr>
      <w:r>
        <w:t xml:space="preserve">1. </w:t>
      </w:r>
      <w:r w:rsidR="002B664F" w:rsidRPr="00720C8D">
        <w:t>Prodávající se zavazuje v souladu s ust. § 2113 občanského zákoníku poskytno</w:t>
      </w:r>
      <w:r w:rsidR="00F91F40">
        <w:t>ut kupujícímu záruku za jakost P</w:t>
      </w:r>
      <w:r w:rsidR="002B664F" w:rsidRPr="00720C8D">
        <w:t>ředmětu koupě po dobu nejméně</w:t>
      </w:r>
      <w:r w:rsidR="002B664F" w:rsidRPr="00CE0E20">
        <w:t xml:space="preserve">: </w:t>
      </w:r>
      <w:r w:rsidR="005E54BB" w:rsidRPr="008E0CED">
        <w:rPr>
          <w:b/>
          <w:highlight w:val="yellow"/>
        </w:rPr>
        <w:t>12</w:t>
      </w:r>
      <w:r w:rsidR="002B664F" w:rsidRPr="008E0CED">
        <w:rPr>
          <w:b/>
          <w:highlight w:val="yellow"/>
        </w:rPr>
        <w:t xml:space="preserve"> měsíců</w:t>
      </w:r>
      <w:r w:rsidR="002B664F" w:rsidRPr="00CE0E20">
        <w:rPr>
          <w:b/>
        </w:rPr>
        <w:t>.</w:t>
      </w:r>
      <w:r w:rsidR="002B664F" w:rsidRPr="00CE0E20">
        <w:t xml:space="preserve"> Záruka</w:t>
      </w:r>
      <w:r w:rsidR="002B664F" w:rsidRPr="00720C8D">
        <w:t xml:space="preserve"> za jakost počne běžet odevzdáním </w:t>
      </w:r>
      <w:r w:rsidR="00F91F40">
        <w:t>P</w:t>
      </w:r>
      <w:r w:rsidR="002B664F" w:rsidRPr="00720C8D">
        <w:t xml:space="preserve">ředmětu koupě. </w:t>
      </w:r>
      <w:r w:rsidR="002B664F" w:rsidRPr="00720C8D">
        <w:rPr>
          <w:bCs/>
        </w:rPr>
        <w:t xml:space="preserve">Místem plnění záručních oprav je místo určené dle čl. </w:t>
      </w:r>
      <w:r w:rsidR="002B7867">
        <w:rPr>
          <w:bCs/>
        </w:rPr>
        <w:t>8</w:t>
      </w:r>
      <w:r w:rsidR="002B664F" w:rsidRPr="00720C8D">
        <w:rPr>
          <w:bCs/>
        </w:rPr>
        <w:t xml:space="preserve"> sml</w:t>
      </w:r>
      <w:r w:rsidR="005E54BB">
        <w:rPr>
          <w:bCs/>
        </w:rPr>
        <w:t xml:space="preserve">ouvy pokud není dohodnuto jinak v záručním listě. </w:t>
      </w:r>
    </w:p>
    <w:p w14:paraId="0385D87C" w14:textId="77777777" w:rsidR="00B455EC" w:rsidRDefault="00B455EC" w:rsidP="002B7867">
      <w:pPr>
        <w:spacing w:line="276" w:lineRule="auto"/>
        <w:rPr>
          <w:rFonts w:cstheme="minorHAnsi"/>
          <w:b/>
          <w:bCs/>
          <w:color w:val="000000"/>
          <w:szCs w:val="22"/>
        </w:rPr>
      </w:pPr>
    </w:p>
    <w:p w14:paraId="40CEBCC7" w14:textId="77777777" w:rsidR="00C20A51" w:rsidRPr="00720C8D" w:rsidRDefault="00567B96" w:rsidP="002B7867">
      <w:pPr>
        <w:spacing w:line="276" w:lineRule="auto"/>
        <w:rPr>
          <w:rFonts w:cstheme="minorHAnsi"/>
          <w:b/>
          <w:bCs/>
          <w:color w:val="000000"/>
          <w:szCs w:val="22"/>
        </w:rPr>
      </w:pPr>
      <w:r w:rsidRPr="00CE0E20">
        <w:rPr>
          <w:rFonts w:cstheme="minorHAnsi"/>
          <w:b/>
          <w:bCs/>
          <w:color w:val="000000"/>
          <w:szCs w:val="22"/>
        </w:rPr>
        <w:t>Záruční podmínky:</w:t>
      </w:r>
    </w:p>
    <w:p w14:paraId="562CECD1" w14:textId="77777777" w:rsidR="00567B96" w:rsidRPr="00720C8D" w:rsidRDefault="005E54BB" w:rsidP="004C23D0">
      <w:r>
        <w:t>1</w:t>
      </w:r>
      <w:r w:rsidR="00D327C4">
        <w:t xml:space="preserve">. </w:t>
      </w:r>
      <w:r w:rsidR="00567B96" w:rsidRPr="00720C8D">
        <w:t>Do záruční doby se nezapočítává doba ode dne uplatnění oprávněného nároku na odst</w:t>
      </w:r>
      <w:r w:rsidR="00F91F40">
        <w:t>ranění vady až do doby, kdy je P</w:t>
      </w:r>
      <w:r w:rsidR="00567B96" w:rsidRPr="00720C8D">
        <w:t xml:space="preserve">ředmět </w:t>
      </w:r>
      <w:r w:rsidR="0053280E">
        <w:t>koupě</w:t>
      </w:r>
      <w:r w:rsidR="00567B96" w:rsidRPr="00720C8D">
        <w:t xml:space="preserve"> kupujícím po odstranění vady převzat.</w:t>
      </w:r>
    </w:p>
    <w:p w14:paraId="1485F58E" w14:textId="77777777" w:rsidR="00125C36" w:rsidRPr="00D327C4" w:rsidRDefault="005E54BB" w:rsidP="004C23D0">
      <w:pPr>
        <w:rPr>
          <w:spacing w:val="5"/>
        </w:rPr>
      </w:pPr>
      <w:r>
        <w:rPr>
          <w:spacing w:val="5"/>
        </w:rPr>
        <w:t>2</w:t>
      </w:r>
      <w:r w:rsidR="00D327C4">
        <w:rPr>
          <w:spacing w:val="5"/>
        </w:rPr>
        <w:t xml:space="preserve">. </w:t>
      </w:r>
      <w:r w:rsidR="00D14858" w:rsidRPr="00720C8D">
        <w:rPr>
          <w:spacing w:val="5"/>
        </w:rPr>
        <w:t>Kupující má právo v záruční době doplňovat provozní náplně (pohonné hmoty, oleje, chladící kapaliny apod.)</w:t>
      </w:r>
    </w:p>
    <w:p w14:paraId="722A0414" w14:textId="77777777" w:rsidR="00125C36" w:rsidRPr="00D327C4" w:rsidRDefault="005E54BB" w:rsidP="004C23D0">
      <w:r>
        <w:t xml:space="preserve">3. </w:t>
      </w:r>
      <w:r w:rsidR="00125C36" w:rsidRPr="00720C8D">
        <w:t>Prodávající odp</w:t>
      </w:r>
      <w:r w:rsidR="00F91F40">
        <w:t>ovídá za vadu zboží, kterou má P</w:t>
      </w:r>
      <w:r w:rsidR="00125C36" w:rsidRPr="00720C8D">
        <w:t xml:space="preserve">ředmět </w:t>
      </w:r>
      <w:r w:rsidR="0053280E">
        <w:t>koupě</w:t>
      </w:r>
      <w:r w:rsidR="00125C36" w:rsidRPr="00720C8D">
        <w:t xml:space="preserve"> v okamžiku, když přechází nebezpečí škody na kupujícího, tj. do data předání a převzetí.</w:t>
      </w:r>
    </w:p>
    <w:p w14:paraId="50EB55A5" w14:textId="77777777" w:rsidR="00125C36" w:rsidRPr="00720C8D" w:rsidRDefault="00F26675" w:rsidP="004C23D0">
      <w:r>
        <w:t>4</w:t>
      </w:r>
      <w:r w:rsidR="00D327C4">
        <w:t xml:space="preserve">. </w:t>
      </w:r>
      <w:r w:rsidR="00125C36" w:rsidRPr="00720C8D">
        <w:t>Prodávající odpovídá za jakoukoli vadu, jež vznikne po uvedené době, jestliže je způsobena porušením jeho povinností a za vadu nebo vady, které by ztěžovaly nebo zn</w:t>
      </w:r>
      <w:r w:rsidR="00F91F40">
        <w:t>emožňovaly P</w:t>
      </w:r>
      <w:r w:rsidR="00125C36" w:rsidRPr="00720C8D">
        <w:t xml:space="preserve">ředmět </w:t>
      </w:r>
      <w:r w:rsidR="0053280E">
        <w:t>koupě</w:t>
      </w:r>
      <w:r w:rsidR="00125C36" w:rsidRPr="00720C8D">
        <w:t xml:space="preserve"> řádně užívat.</w:t>
      </w:r>
    </w:p>
    <w:p w14:paraId="6F4187CF" w14:textId="77777777" w:rsidR="007D7AF4" w:rsidRPr="00720C8D" w:rsidRDefault="00F26675" w:rsidP="004C23D0">
      <w:r>
        <w:t>5</w:t>
      </w:r>
      <w:r w:rsidR="00D327C4">
        <w:t xml:space="preserve">. </w:t>
      </w:r>
      <w:r w:rsidR="007D7AF4" w:rsidRPr="00720C8D">
        <w:t>Prodávající neodpovídá za takové vady</w:t>
      </w:r>
      <w:r w:rsidR="006B0518" w:rsidRPr="00720C8D">
        <w:t>, po</w:t>
      </w:r>
      <w:r w:rsidR="00F91F40">
        <w:t>škození a mimořádná opotřebení P</w:t>
      </w:r>
      <w:r w:rsidR="006B0518" w:rsidRPr="00720C8D">
        <w:t xml:space="preserve">ředmětu </w:t>
      </w:r>
      <w:r w:rsidR="00F91F40">
        <w:t>koupě</w:t>
      </w:r>
      <w:r w:rsidR="006B0518" w:rsidRPr="00720C8D">
        <w:t>, které vznikly zejména z následujících důvodů:</w:t>
      </w:r>
    </w:p>
    <w:p w14:paraId="40040D7B" w14:textId="77777777" w:rsidR="004C23D0" w:rsidRPr="004C23D0" w:rsidRDefault="00F91F40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Nedostatečnou řádnou údržbou P</w:t>
      </w:r>
      <w:r w:rsidR="006B0518" w:rsidRPr="004C23D0">
        <w:rPr>
          <w:rFonts w:asciiTheme="minorHAnsi" w:hAnsiTheme="minorHAnsi" w:cstheme="minorHAnsi"/>
        </w:rPr>
        <w:t xml:space="preserve">ředmětu </w:t>
      </w:r>
      <w:r>
        <w:rPr>
          <w:rFonts w:asciiTheme="minorHAnsi" w:hAnsiTheme="minorHAnsi" w:cstheme="minorHAnsi"/>
        </w:rPr>
        <w:t>koupě</w:t>
      </w:r>
    </w:p>
    <w:p w14:paraId="7685F621" w14:textId="77777777" w:rsidR="004C23D0" w:rsidRPr="004C23D0" w:rsidRDefault="006B0518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4C23D0">
        <w:rPr>
          <w:rFonts w:asciiTheme="minorHAnsi" w:hAnsiTheme="minorHAnsi" w:cstheme="minorHAnsi"/>
        </w:rPr>
        <w:t>Nesplněním povinnosti obsluh</w:t>
      </w:r>
      <w:r w:rsidR="00F91F40">
        <w:rPr>
          <w:rFonts w:asciiTheme="minorHAnsi" w:hAnsiTheme="minorHAnsi" w:cstheme="minorHAnsi"/>
        </w:rPr>
        <w:t>y P</w:t>
      </w:r>
      <w:r w:rsidRPr="004C23D0">
        <w:rPr>
          <w:rFonts w:asciiTheme="minorHAnsi" w:hAnsiTheme="minorHAnsi" w:cstheme="minorHAnsi"/>
        </w:rPr>
        <w:t xml:space="preserve">ředmětu </w:t>
      </w:r>
      <w:r w:rsidR="00F91F40">
        <w:rPr>
          <w:rFonts w:asciiTheme="minorHAnsi" w:hAnsiTheme="minorHAnsi" w:cstheme="minorHAnsi"/>
        </w:rPr>
        <w:t>koupě</w:t>
      </w:r>
    </w:p>
    <w:p w14:paraId="0C405703" w14:textId="77777777" w:rsidR="004C23D0" w:rsidRPr="004C23D0" w:rsidRDefault="00F91F40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Užitím P</w:t>
      </w:r>
      <w:r w:rsidR="006B0518" w:rsidRPr="004C23D0">
        <w:rPr>
          <w:rFonts w:asciiTheme="minorHAnsi" w:hAnsiTheme="minorHAnsi" w:cstheme="minorHAnsi"/>
        </w:rPr>
        <w:t xml:space="preserve">ředmětu </w:t>
      </w:r>
      <w:r>
        <w:rPr>
          <w:rFonts w:asciiTheme="minorHAnsi" w:hAnsiTheme="minorHAnsi" w:cstheme="minorHAnsi"/>
        </w:rPr>
        <w:t>koupě</w:t>
      </w:r>
      <w:r w:rsidR="006B0518" w:rsidRPr="004C23D0">
        <w:rPr>
          <w:rFonts w:asciiTheme="minorHAnsi" w:hAnsiTheme="minorHAnsi" w:cstheme="minorHAnsi"/>
        </w:rPr>
        <w:t xml:space="preserve"> k jiným účelům, než ke kterým je určeno </w:t>
      </w:r>
    </w:p>
    <w:p w14:paraId="1B56CDDB" w14:textId="77777777" w:rsidR="004C23D0" w:rsidRPr="004C23D0" w:rsidRDefault="00F91F40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Přetížením Předmětu koupě</w:t>
      </w:r>
    </w:p>
    <w:p w14:paraId="6C241423" w14:textId="77777777" w:rsidR="004C23D0" w:rsidRPr="004C23D0" w:rsidRDefault="00F91F40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Poškozením popř. zničením P</w:t>
      </w:r>
      <w:r w:rsidR="006B0518" w:rsidRPr="004C23D0">
        <w:rPr>
          <w:rFonts w:asciiTheme="minorHAnsi" w:hAnsiTheme="minorHAnsi" w:cstheme="minorHAnsi"/>
        </w:rPr>
        <w:t xml:space="preserve">ředmětu </w:t>
      </w:r>
      <w:r>
        <w:rPr>
          <w:rFonts w:asciiTheme="minorHAnsi" w:hAnsiTheme="minorHAnsi" w:cstheme="minorHAnsi"/>
        </w:rPr>
        <w:t>koupě</w:t>
      </w:r>
      <w:r w:rsidR="006B0518" w:rsidRPr="004C23D0">
        <w:rPr>
          <w:rFonts w:asciiTheme="minorHAnsi" w:hAnsiTheme="minorHAnsi" w:cstheme="minorHAnsi"/>
        </w:rPr>
        <w:t xml:space="preserve"> třetími osobami</w:t>
      </w:r>
    </w:p>
    <w:p w14:paraId="3F256ACA" w14:textId="77777777" w:rsidR="006B0518" w:rsidRDefault="006B0518" w:rsidP="004C23D0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4C23D0">
        <w:rPr>
          <w:rFonts w:asciiTheme="minorHAnsi" w:hAnsiTheme="minorHAnsi" w:cstheme="minorHAnsi"/>
        </w:rPr>
        <w:t>Poškozením v důsledku havárie či náhodné události, popř. v důsledku nepředvídatelných událostí (požár, záplavy, padající strom, zásah bleskem atd.)</w:t>
      </w:r>
    </w:p>
    <w:p w14:paraId="197EACC3" w14:textId="77777777" w:rsidR="004E2B52" w:rsidRPr="004C23D0" w:rsidRDefault="004E2B52" w:rsidP="004E2B52">
      <w:pPr>
        <w:pStyle w:val="Odstavecseseznamem"/>
        <w:rPr>
          <w:rFonts w:asciiTheme="minorHAnsi" w:hAnsiTheme="minorHAnsi" w:cstheme="minorHAnsi"/>
        </w:rPr>
      </w:pPr>
    </w:p>
    <w:p w14:paraId="2BB68577" w14:textId="77777777" w:rsidR="002B664F" w:rsidRPr="00720C8D" w:rsidRDefault="00223C11" w:rsidP="00D327C4">
      <w:pPr>
        <w:pStyle w:val="Nadpis1"/>
      </w:pPr>
      <w:r w:rsidRPr="00720C8D">
        <w:t>OSTATNÍ UJEDNÁNÍ</w:t>
      </w:r>
    </w:p>
    <w:p w14:paraId="142AEACB" w14:textId="77777777" w:rsidR="00C22B1F" w:rsidRPr="00720C8D" w:rsidRDefault="00ED68C3" w:rsidP="00D327C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1</w:t>
      </w:r>
      <w:r w:rsidR="00D327C4">
        <w:rPr>
          <w:rFonts w:cstheme="minorHAnsi"/>
          <w:szCs w:val="22"/>
        </w:rPr>
        <w:t xml:space="preserve">. </w:t>
      </w:r>
      <w:r w:rsidR="002B664F" w:rsidRPr="00720C8D">
        <w:rPr>
          <w:rFonts w:cstheme="minorHAnsi"/>
          <w:szCs w:val="22"/>
        </w:rPr>
        <w:t>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14:paraId="4D7E28F0" w14:textId="77777777" w:rsidR="004E2B52" w:rsidRPr="00720C8D" w:rsidRDefault="00E745F7" w:rsidP="002B786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327C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664F" w:rsidRPr="00720C8D">
        <w:rPr>
          <w:rFonts w:asciiTheme="minorHAnsi" w:hAnsiTheme="minorHAnsi" w:cstheme="minorHAnsi"/>
          <w:color w:val="auto"/>
          <w:sz w:val="22"/>
          <w:szCs w:val="22"/>
        </w:rPr>
        <w:t xml:space="preserve">Tuto smlouvu lze změnit nebo zrušit pouze písemnými dodatky a písemnou dohodou smluvních stran. </w:t>
      </w:r>
      <w:r w:rsidR="002B664F" w:rsidRPr="00720C8D">
        <w:rPr>
          <w:rFonts w:asciiTheme="minorHAnsi" w:hAnsiTheme="minorHAnsi" w:cstheme="minorHAnsi"/>
          <w:sz w:val="22"/>
          <w:szCs w:val="22"/>
        </w:rPr>
        <w:t xml:space="preserve">Za písemnou formu nebude pro tento účel považována výměna e-mailových, či jiných elektronických zpráv. </w:t>
      </w:r>
      <w:r w:rsidR="004E2B52">
        <w:rPr>
          <w:rFonts w:asciiTheme="minorHAnsi" w:hAnsiTheme="minorHAnsi" w:cstheme="minorHAnsi"/>
          <w:sz w:val="22"/>
          <w:szCs w:val="22"/>
        </w:rPr>
        <w:t xml:space="preserve">Kupujicí může </w:t>
      </w:r>
      <w:r w:rsidR="0033556B">
        <w:rPr>
          <w:rFonts w:asciiTheme="minorHAnsi" w:hAnsiTheme="minorHAnsi" w:cstheme="minorHAnsi"/>
          <w:sz w:val="22"/>
          <w:szCs w:val="22"/>
        </w:rPr>
        <w:t>od smlouvy odstoupit</w:t>
      </w:r>
      <w:r w:rsidR="004E2B52">
        <w:rPr>
          <w:rFonts w:asciiTheme="minorHAnsi" w:hAnsiTheme="minorHAnsi" w:cstheme="minorHAnsi"/>
          <w:sz w:val="22"/>
          <w:szCs w:val="22"/>
        </w:rPr>
        <w:t xml:space="preserve"> bez udání důvodu. </w:t>
      </w:r>
    </w:p>
    <w:p w14:paraId="7BF56C0E" w14:textId="77777777" w:rsidR="00C22B1F" w:rsidRPr="00720C8D" w:rsidRDefault="00E745F7" w:rsidP="00D327C4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3</w:t>
      </w:r>
      <w:r w:rsidR="00ED68C3">
        <w:rPr>
          <w:rFonts w:cstheme="minorHAnsi"/>
          <w:szCs w:val="22"/>
        </w:rPr>
        <w:t>.</w:t>
      </w:r>
      <w:r w:rsidR="00D327C4">
        <w:rPr>
          <w:rFonts w:cstheme="minorHAnsi"/>
          <w:szCs w:val="22"/>
        </w:rPr>
        <w:t xml:space="preserve"> </w:t>
      </w:r>
      <w:r w:rsidR="002B664F" w:rsidRPr="00720C8D">
        <w:rPr>
          <w:rFonts w:cstheme="minorHAnsi"/>
          <w:szCs w:val="22"/>
        </w:rPr>
        <w:t>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</w:t>
      </w:r>
      <w:r w:rsidR="0053439D" w:rsidRPr="00720C8D">
        <w:rPr>
          <w:rFonts w:cstheme="minorHAnsi"/>
          <w:szCs w:val="22"/>
        </w:rPr>
        <w:t>f</w:t>
      </w:r>
      <w:r w:rsidR="002B664F" w:rsidRPr="00720C8D">
        <w:rPr>
          <w:rFonts w:cstheme="minorHAnsi"/>
          <w:szCs w:val="22"/>
        </w:rPr>
        <w:t>inanční kontrole ve veřejné správě a o změně některých zákonů (zákon o finanční kontrole), ve znění pozdějších předpisů. Prodávající se zavazuje uchovat veškeré doklady související s plněním dle této smlouvy po dobu nejméně 10-ti (deseti) let po skončení ukončení této smlouvy.</w:t>
      </w:r>
    </w:p>
    <w:p w14:paraId="113F525F" w14:textId="77777777" w:rsidR="00C22B1F" w:rsidRPr="00720C8D" w:rsidRDefault="00E745F7" w:rsidP="00446A8C">
      <w:pPr>
        <w:spacing w:line="276" w:lineRule="auto"/>
        <w:rPr>
          <w:rFonts w:cstheme="minorHAnsi"/>
          <w:bCs/>
          <w:color w:val="000000"/>
          <w:spacing w:val="5"/>
          <w:szCs w:val="22"/>
        </w:rPr>
      </w:pPr>
      <w:r>
        <w:rPr>
          <w:rFonts w:cstheme="minorHAnsi"/>
          <w:szCs w:val="22"/>
        </w:rPr>
        <w:t>4</w:t>
      </w:r>
      <w:r w:rsidR="00D327C4">
        <w:rPr>
          <w:rFonts w:cstheme="minorHAnsi"/>
          <w:szCs w:val="22"/>
        </w:rPr>
        <w:t xml:space="preserve">. </w:t>
      </w:r>
      <w:r w:rsidR="002B664F" w:rsidRPr="00720C8D">
        <w:rPr>
          <w:rFonts w:cstheme="minorHAnsi"/>
          <w:szCs w:val="22"/>
        </w:rPr>
        <w:t>Tato smlouva nabývá platnosti a účinnosti dnem jejího podpisu oběma smluvními stranami.</w:t>
      </w:r>
      <w:r w:rsidR="002B664F" w:rsidRPr="00720C8D">
        <w:rPr>
          <w:rFonts w:cstheme="minorHAnsi"/>
          <w:bCs/>
          <w:color w:val="000000"/>
          <w:spacing w:val="5"/>
          <w:szCs w:val="22"/>
        </w:rPr>
        <w:t xml:space="preserve"> Smluvní strany svým podpisem potvrzují a zároveň prohlašují, že si smlouvu přečetly.</w:t>
      </w:r>
      <w:r w:rsidR="00446A8C">
        <w:rPr>
          <w:rFonts w:cstheme="minorHAnsi"/>
          <w:bCs/>
          <w:color w:val="000000"/>
          <w:spacing w:val="5"/>
          <w:szCs w:val="22"/>
        </w:rPr>
        <w:t xml:space="preserve"> </w:t>
      </w:r>
      <w:r w:rsidR="00F446E8" w:rsidRPr="00D327C4">
        <w:rPr>
          <w:rFonts w:cstheme="minorHAnsi"/>
          <w:szCs w:val="22"/>
        </w:rPr>
        <w:t xml:space="preserve">Smluvní strany </w:t>
      </w:r>
      <w:r w:rsidR="00F446E8" w:rsidRPr="00D327C4">
        <w:rPr>
          <w:rFonts w:cstheme="minorHAnsi"/>
          <w:szCs w:val="22"/>
        </w:rPr>
        <w:lastRenderedPageBreak/>
        <w:t>prohlašují, že je jim znám celý obsah smlouvy a že tato kupní smlouva byla</w:t>
      </w:r>
      <w:r w:rsidR="00F446E8" w:rsidRPr="00720C8D">
        <w:rPr>
          <w:rFonts w:cstheme="minorHAnsi"/>
          <w:bCs/>
          <w:color w:val="000000"/>
          <w:spacing w:val="5"/>
          <w:szCs w:val="22"/>
        </w:rPr>
        <w:t xml:space="preserve"> sepsána na základě pravdivých údajů a svobodné vůle a že nebyla uzavřena v tísni ani jinak nápadně nevýhodných podmínek. Na důkaz tohoto připojují své podpisy.</w:t>
      </w:r>
    </w:p>
    <w:p w14:paraId="4547AE99" w14:textId="77777777" w:rsidR="002B664F" w:rsidRDefault="00E745F7" w:rsidP="00F91F40">
      <w:p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5</w:t>
      </w:r>
      <w:r w:rsidR="00446A8C">
        <w:rPr>
          <w:rFonts w:cstheme="minorHAnsi"/>
          <w:szCs w:val="22"/>
        </w:rPr>
        <w:t xml:space="preserve">. </w:t>
      </w:r>
      <w:r w:rsidR="003F7D22" w:rsidRPr="00720C8D">
        <w:rPr>
          <w:rFonts w:cstheme="minorHAnsi"/>
          <w:szCs w:val="22"/>
        </w:rPr>
        <w:t>Prodávající</w:t>
      </w:r>
      <w:r w:rsidR="004273D7" w:rsidRPr="00720C8D">
        <w:rPr>
          <w:rFonts w:cstheme="minorHAnsi"/>
          <w:szCs w:val="22"/>
        </w:rPr>
        <w:t xml:space="preserve"> je povinen poskytovat požadované informace, dokladovat svoji činnost, poskytovat veškerou dokumentaci vztahující se k</w:t>
      </w:r>
      <w:r w:rsidR="00B57278">
        <w:rPr>
          <w:rFonts w:cstheme="minorHAnsi"/>
          <w:szCs w:val="22"/>
        </w:rPr>
        <w:t> </w:t>
      </w:r>
      <w:r w:rsidR="00B455EC" w:rsidRPr="00B455EC">
        <w:rPr>
          <w:rFonts w:cstheme="minorHAnsi"/>
          <w:szCs w:val="22"/>
        </w:rPr>
        <w:t>P</w:t>
      </w:r>
      <w:r w:rsidR="00B57278" w:rsidRPr="00B455EC">
        <w:rPr>
          <w:rFonts w:cstheme="minorHAnsi"/>
          <w:szCs w:val="22"/>
        </w:rPr>
        <w:t xml:space="preserve">ředmětu </w:t>
      </w:r>
      <w:r w:rsidR="00B455EC" w:rsidRPr="00B455EC">
        <w:rPr>
          <w:rFonts w:cstheme="minorHAnsi"/>
          <w:szCs w:val="22"/>
        </w:rPr>
        <w:t>koupě</w:t>
      </w:r>
      <w:r w:rsidR="00B57278" w:rsidRPr="00B455EC">
        <w:rPr>
          <w:rFonts w:cstheme="minorHAnsi"/>
          <w:szCs w:val="22"/>
        </w:rPr>
        <w:t xml:space="preserve"> </w:t>
      </w:r>
      <w:r w:rsidR="004273D7" w:rsidRPr="00720C8D">
        <w:rPr>
          <w:rFonts w:cstheme="minorHAnsi"/>
          <w:szCs w:val="22"/>
        </w:rPr>
        <w:t>a umožnit vstup a kontrolu pověřeným osobám (zejména pracovníkům SZI</w:t>
      </w:r>
      <w:r w:rsidR="00ED68C3">
        <w:rPr>
          <w:rFonts w:cstheme="minorHAnsi"/>
          <w:szCs w:val="22"/>
        </w:rPr>
        <w:t xml:space="preserve">F, </w:t>
      </w:r>
      <w:r w:rsidR="00F91F40">
        <w:rPr>
          <w:rFonts w:cstheme="minorHAnsi"/>
          <w:szCs w:val="22"/>
        </w:rPr>
        <w:t>MZe</w:t>
      </w:r>
      <w:r w:rsidR="00ED68C3">
        <w:rPr>
          <w:rFonts w:cstheme="minorHAnsi"/>
          <w:szCs w:val="22"/>
        </w:rPr>
        <w:t xml:space="preserve"> ČR</w:t>
      </w:r>
      <w:r w:rsidR="004273D7" w:rsidRPr="00720C8D">
        <w:rPr>
          <w:rFonts w:cstheme="minorHAnsi"/>
          <w:szCs w:val="22"/>
        </w:rPr>
        <w:t>, Nejvyššího kontrolníh</w:t>
      </w:r>
      <w:r w:rsidR="00ED68C3">
        <w:rPr>
          <w:rFonts w:cstheme="minorHAnsi"/>
          <w:szCs w:val="22"/>
        </w:rPr>
        <w:t>o úřadu, Certifikačního orgánu, Evropské komise</w:t>
      </w:r>
      <w:r w:rsidR="004273D7" w:rsidRPr="00720C8D">
        <w:rPr>
          <w:rFonts w:cstheme="minorHAnsi"/>
          <w:szCs w:val="22"/>
        </w:rPr>
        <w:t>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14:paraId="6A02043D" w14:textId="77777777" w:rsidR="004E2B52" w:rsidRPr="00720C8D" w:rsidRDefault="004E2B52" w:rsidP="00F91F40">
      <w:pPr>
        <w:spacing w:line="276" w:lineRule="auto"/>
        <w:rPr>
          <w:rFonts w:cstheme="minorHAnsi"/>
          <w:szCs w:val="22"/>
        </w:rPr>
      </w:pPr>
    </w:p>
    <w:p w14:paraId="6A697E23" w14:textId="77777777" w:rsidR="002B664F" w:rsidRPr="00F91F40" w:rsidRDefault="002B664F" w:rsidP="002B7867">
      <w:pPr>
        <w:spacing w:line="276" w:lineRule="auto"/>
        <w:rPr>
          <w:rFonts w:cstheme="minorHAnsi"/>
          <w:snapToGrid w:val="0"/>
          <w:szCs w:val="22"/>
        </w:rPr>
      </w:pPr>
      <w:r w:rsidRPr="00446A8C">
        <w:rPr>
          <w:rFonts w:cstheme="minorHAnsi"/>
          <w:snapToGrid w:val="0"/>
          <w:szCs w:val="22"/>
        </w:rPr>
        <w:t xml:space="preserve">V </w:t>
      </w:r>
      <w:r w:rsidR="00F91F40" w:rsidRPr="00F91F40">
        <w:rPr>
          <w:rFonts w:cstheme="minorHAnsi"/>
          <w:snapToGrid w:val="0"/>
          <w:szCs w:val="22"/>
          <w:highlight w:val="yellow"/>
        </w:rPr>
        <w:t>XY</w:t>
      </w:r>
      <w:r w:rsidR="00F91F40">
        <w:rPr>
          <w:rFonts w:cstheme="minorHAnsi"/>
          <w:snapToGrid w:val="0"/>
          <w:szCs w:val="22"/>
        </w:rPr>
        <w:tab/>
      </w:r>
      <w:r w:rsidR="00F91F40">
        <w:rPr>
          <w:rFonts w:cstheme="minorHAnsi"/>
          <w:snapToGrid w:val="0"/>
          <w:szCs w:val="22"/>
        </w:rPr>
        <w:tab/>
        <w:t xml:space="preserve">dne </w:t>
      </w:r>
      <w:r w:rsidR="00F91F40" w:rsidRPr="00F91F40">
        <w:rPr>
          <w:rFonts w:cstheme="minorHAnsi"/>
          <w:snapToGrid w:val="0"/>
          <w:szCs w:val="22"/>
          <w:highlight w:val="yellow"/>
        </w:rPr>
        <w:t>XY</w:t>
      </w:r>
      <w:r w:rsidRPr="00446A8C">
        <w:rPr>
          <w:rFonts w:cstheme="minorHAnsi"/>
          <w:snapToGrid w:val="0"/>
          <w:szCs w:val="22"/>
        </w:rPr>
        <w:tab/>
      </w:r>
      <w:r w:rsidRPr="00446A8C">
        <w:rPr>
          <w:rFonts w:cstheme="minorHAnsi"/>
          <w:snapToGrid w:val="0"/>
          <w:szCs w:val="22"/>
        </w:rPr>
        <w:tab/>
      </w:r>
      <w:r w:rsidRPr="00446A8C">
        <w:rPr>
          <w:rFonts w:cstheme="minorHAnsi"/>
          <w:snapToGrid w:val="0"/>
          <w:szCs w:val="22"/>
        </w:rPr>
        <w:tab/>
      </w:r>
      <w:r w:rsidR="00F91F40">
        <w:rPr>
          <w:rFonts w:cstheme="minorHAnsi"/>
          <w:snapToGrid w:val="0"/>
          <w:szCs w:val="22"/>
        </w:rPr>
        <w:tab/>
      </w:r>
      <w:r w:rsidR="00F91F40">
        <w:rPr>
          <w:rFonts w:cstheme="minorHAnsi"/>
          <w:snapToGrid w:val="0"/>
          <w:szCs w:val="22"/>
        </w:rPr>
        <w:tab/>
      </w:r>
      <w:r w:rsidR="003F3B25" w:rsidRPr="00446A8C">
        <w:rPr>
          <w:rFonts w:cstheme="minorHAnsi"/>
          <w:snapToGrid w:val="0"/>
          <w:color w:val="000000"/>
          <w:szCs w:val="22"/>
        </w:rPr>
        <w:t>V</w:t>
      </w:r>
      <w:r w:rsidR="00446A8C" w:rsidRPr="00446A8C">
        <w:rPr>
          <w:rFonts w:cstheme="minorHAnsi"/>
          <w:snapToGrid w:val="0"/>
          <w:color w:val="000000"/>
          <w:szCs w:val="22"/>
        </w:rPr>
        <w:t xml:space="preserve"> </w:t>
      </w:r>
      <w:r w:rsidR="00F91F40">
        <w:rPr>
          <w:rFonts w:cstheme="minorHAnsi"/>
          <w:snapToGrid w:val="0"/>
          <w:color w:val="000000"/>
          <w:szCs w:val="22"/>
        </w:rPr>
        <w:tab/>
      </w:r>
      <w:r w:rsidR="00F91F40">
        <w:rPr>
          <w:rFonts w:cstheme="minorHAnsi"/>
          <w:snapToGrid w:val="0"/>
          <w:color w:val="000000"/>
          <w:szCs w:val="22"/>
        </w:rPr>
        <w:tab/>
      </w:r>
      <w:r w:rsidR="00F91F40">
        <w:rPr>
          <w:rFonts w:cstheme="minorHAnsi"/>
          <w:snapToGrid w:val="0"/>
          <w:color w:val="000000"/>
          <w:szCs w:val="22"/>
        </w:rPr>
        <w:tab/>
        <w:t>dne</w:t>
      </w:r>
      <w:r w:rsidR="00684A19" w:rsidRPr="00446A8C">
        <w:rPr>
          <w:rFonts w:cstheme="minorHAnsi"/>
          <w:snapToGrid w:val="0"/>
          <w:color w:val="000000"/>
          <w:szCs w:val="22"/>
        </w:rPr>
        <w:t xml:space="preserve"> </w:t>
      </w:r>
    </w:p>
    <w:p w14:paraId="6C18E6B8" w14:textId="77777777" w:rsidR="00286E06" w:rsidRPr="00720C8D" w:rsidRDefault="002B664F" w:rsidP="002B7867">
      <w:pPr>
        <w:spacing w:line="276" w:lineRule="auto"/>
        <w:rPr>
          <w:rFonts w:cstheme="minorHAnsi"/>
          <w:b/>
          <w:i/>
          <w:snapToGrid w:val="0"/>
          <w:szCs w:val="22"/>
        </w:rPr>
      </w:pPr>
      <w:r w:rsidRPr="00720C8D">
        <w:rPr>
          <w:rFonts w:cstheme="minorHAnsi"/>
          <w:b/>
          <w:i/>
          <w:snapToGrid w:val="0"/>
          <w:szCs w:val="22"/>
          <w:u w:val="single"/>
        </w:rPr>
        <w:t>Strana prodávající</w:t>
      </w:r>
      <w:r w:rsidRPr="00720C8D">
        <w:rPr>
          <w:rFonts w:cstheme="minorHAnsi"/>
          <w:b/>
          <w:i/>
          <w:snapToGrid w:val="0"/>
          <w:szCs w:val="22"/>
        </w:rPr>
        <w:t xml:space="preserve">: </w:t>
      </w:r>
      <w:r w:rsidRPr="00720C8D">
        <w:rPr>
          <w:rFonts w:cstheme="minorHAnsi"/>
          <w:b/>
          <w:i/>
          <w:snapToGrid w:val="0"/>
          <w:color w:val="008000"/>
          <w:szCs w:val="22"/>
        </w:rPr>
        <w:tab/>
      </w:r>
      <w:r w:rsidRPr="00720C8D">
        <w:rPr>
          <w:rFonts w:cstheme="minorHAnsi"/>
          <w:b/>
          <w:i/>
          <w:snapToGrid w:val="0"/>
          <w:color w:val="008000"/>
          <w:szCs w:val="22"/>
        </w:rPr>
        <w:tab/>
      </w:r>
      <w:r w:rsidR="00232135" w:rsidRPr="00720C8D">
        <w:rPr>
          <w:rFonts w:cstheme="minorHAnsi"/>
          <w:b/>
          <w:i/>
          <w:snapToGrid w:val="0"/>
          <w:color w:val="008000"/>
          <w:szCs w:val="22"/>
        </w:rPr>
        <w:tab/>
      </w:r>
      <w:r w:rsidR="00232135" w:rsidRPr="00720C8D">
        <w:rPr>
          <w:rFonts w:cstheme="minorHAnsi"/>
          <w:b/>
          <w:i/>
          <w:snapToGrid w:val="0"/>
          <w:color w:val="008000"/>
          <w:szCs w:val="22"/>
        </w:rPr>
        <w:tab/>
      </w:r>
      <w:r w:rsidR="00232135" w:rsidRPr="00720C8D">
        <w:rPr>
          <w:rFonts w:cstheme="minorHAnsi"/>
          <w:b/>
          <w:i/>
          <w:snapToGrid w:val="0"/>
          <w:color w:val="008000"/>
          <w:szCs w:val="22"/>
        </w:rPr>
        <w:tab/>
      </w:r>
      <w:r w:rsidRPr="00720C8D">
        <w:rPr>
          <w:rFonts w:cstheme="minorHAnsi"/>
          <w:b/>
          <w:i/>
          <w:snapToGrid w:val="0"/>
          <w:szCs w:val="22"/>
          <w:u w:val="single"/>
        </w:rPr>
        <w:t>Strana kupující</w:t>
      </w:r>
      <w:r w:rsidRPr="00720C8D">
        <w:rPr>
          <w:rFonts w:cstheme="minorHAnsi"/>
          <w:b/>
          <w:i/>
          <w:snapToGrid w:val="0"/>
          <w:szCs w:val="22"/>
        </w:rPr>
        <w:t>:</w:t>
      </w:r>
    </w:p>
    <w:p w14:paraId="1258112A" w14:textId="77777777" w:rsidR="002B664F" w:rsidRPr="00720C8D" w:rsidRDefault="002B664F" w:rsidP="002B7867">
      <w:pPr>
        <w:spacing w:line="276" w:lineRule="auto"/>
        <w:rPr>
          <w:rFonts w:cstheme="minorHAnsi"/>
          <w:b/>
          <w:i/>
          <w:snapToGrid w:val="0"/>
          <w:szCs w:val="22"/>
        </w:rPr>
      </w:pPr>
    </w:p>
    <w:p w14:paraId="57973686" w14:textId="77777777" w:rsidR="002B664F" w:rsidRPr="00720C8D" w:rsidRDefault="002B664F" w:rsidP="002B7867">
      <w:pPr>
        <w:spacing w:line="276" w:lineRule="auto"/>
        <w:rPr>
          <w:rFonts w:cstheme="minorHAnsi"/>
          <w:snapToGrid w:val="0"/>
          <w:szCs w:val="22"/>
        </w:rPr>
      </w:pPr>
      <w:r w:rsidRPr="00720C8D">
        <w:rPr>
          <w:rFonts w:cstheme="minorHAnsi"/>
          <w:snapToGrid w:val="0"/>
          <w:szCs w:val="22"/>
        </w:rPr>
        <w:t>--------------------</w:t>
      </w:r>
      <w:r w:rsidR="0059698A" w:rsidRPr="00720C8D">
        <w:rPr>
          <w:rFonts w:cstheme="minorHAnsi"/>
          <w:snapToGrid w:val="0"/>
          <w:szCs w:val="22"/>
        </w:rPr>
        <w:t>--------------------</w:t>
      </w:r>
      <w:r w:rsidR="0059698A" w:rsidRPr="00720C8D">
        <w:rPr>
          <w:rFonts w:cstheme="minorHAnsi"/>
          <w:snapToGrid w:val="0"/>
          <w:szCs w:val="22"/>
        </w:rPr>
        <w:tab/>
      </w:r>
      <w:r w:rsidR="0059698A" w:rsidRPr="00720C8D">
        <w:rPr>
          <w:rFonts w:cstheme="minorHAnsi"/>
          <w:snapToGrid w:val="0"/>
          <w:szCs w:val="22"/>
        </w:rPr>
        <w:tab/>
      </w:r>
      <w:r w:rsidR="0059698A" w:rsidRPr="00720C8D">
        <w:rPr>
          <w:rFonts w:cstheme="minorHAnsi"/>
          <w:snapToGrid w:val="0"/>
          <w:szCs w:val="22"/>
        </w:rPr>
        <w:tab/>
      </w:r>
      <w:r w:rsidR="0059698A" w:rsidRPr="00720C8D">
        <w:rPr>
          <w:rFonts w:cstheme="minorHAnsi"/>
          <w:snapToGrid w:val="0"/>
          <w:szCs w:val="22"/>
        </w:rPr>
        <w:tab/>
      </w:r>
      <w:r w:rsidRPr="00720C8D">
        <w:rPr>
          <w:rFonts w:cstheme="minorHAnsi"/>
          <w:snapToGrid w:val="0"/>
          <w:szCs w:val="22"/>
        </w:rPr>
        <w:t>-----------------</w:t>
      </w:r>
      <w:r w:rsidR="00684A19" w:rsidRPr="00720C8D">
        <w:rPr>
          <w:rFonts w:cstheme="minorHAnsi"/>
          <w:snapToGrid w:val="0"/>
          <w:szCs w:val="22"/>
        </w:rPr>
        <w:t>----------------------</w:t>
      </w:r>
    </w:p>
    <w:p w14:paraId="5F138A58" w14:textId="77777777" w:rsidR="00006DD9" w:rsidRPr="00720C8D" w:rsidRDefault="0059698A" w:rsidP="00ED68C3">
      <w:pPr>
        <w:spacing w:line="276" w:lineRule="auto"/>
        <w:rPr>
          <w:rFonts w:cstheme="minorHAnsi"/>
          <w:snapToGrid w:val="0"/>
          <w:szCs w:val="22"/>
        </w:rPr>
      </w:pPr>
      <w:r w:rsidRPr="00720C8D">
        <w:rPr>
          <w:rFonts w:cstheme="minorHAnsi"/>
          <w:bCs/>
          <w:color w:val="000000"/>
          <w:szCs w:val="22"/>
        </w:rPr>
        <w:tab/>
      </w:r>
      <w:r w:rsidRPr="00720C8D">
        <w:rPr>
          <w:rFonts w:cstheme="minorHAnsi"/>
          <w:bCs/>
          <w:color w:val="000000"/>
          <w:szCs w:val="22"/>
        </w:rPr>
        <w:tab/>
      </w:r>
      <w:r w:rsidRPr="00720C8D">
        <w:rPr>
          <w:rFonts w:cstheme="minorHAnsi"/>
          <w:bCs/>
          <w:color w:val="000000"/>
          <w:szCs w:val="22"/>
        </w:rPr>
        <w:tab/>
      </w:r>
      <w:r w:rsidRPr="00720C8D">
        <w:rPr>
          <w:rFonts w:cstheme="minorHAnsi"/>
          <w:bCs/>
          <w:color w:val="000000"/>
          <w:szCs w:val="22"/>
        </w:rPr>
        <w:tab/>
      </w:r>
      <w:r w:rsidRPr="00720C8D">
        <w:rPr>
          <w:rFonts w:cstheme="minorHAnsi"/>
          <w:bCs/>
          <w:color w:val="000000"/>
          <w:szCs w:val="22"/>
        </w:rPr>
        <w:tab/>
      </w:r>
      <w:r w:rsidR="00ED68C3">
        <w:rPr>
          <w:rFonts w:cstheme="minorHAnsi"/>
          <w:bCs/>
          <w:color w:val="000000"/>
          <w:szCs w:val="22"/>
        </w:rPr>
        <w:tab/>
      </w:r>
      <w:r w:rsidR="00ED68C3">
        <w:rPr>
          <w:rFonts w:cstheme="minorHAnsi"/>
          <w:bCs/>
          <w:color w:val="000000"/>
          <w:szCs w:val="22"/>
        </w:rPr>
        <w:tab/>
      </w:r>
      <w:r w:rsidR="00F26675">
        <w:rPr>
          <w:rFonts w:cstheme="minorHAnsi"/>
          <w:bCs/>
          <w:color w:val="000000"/>
          <w:szCs w:val="22"/>
        </w:rPr>
        <w:t>Václav Sýkora</w:t>
      </w:r>
    </w:p>
    <w:sectPr w:rsidR="00006DD9" w:rsidRPr="00720C8D" w:rsidSect="0059698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6EA8" w14:textId="77777777" w:rsidR="00CB3B90" w:rsidRDefault="00CB3B90" w:rsidP="0003055D">
      <w:r>
        <w:separator/>
      </w:r>
    </w:p>
  </w:endnote>
  <w:endnote w:type="continuationSeparator" w:id="0">
    <w:p w14:paraId="3FD5317B" w14:textId="77777777" w:rsidR="00CB3B90" w:rsidRDefault="00CB3B90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3B60" w14:textId="77777777" w:rsidR="006A24C3" w:rsidRDefault="006A24C3">
    <w:pPr>
      <w:pStyle w:val="Zpat"/>
      <w:jc w:val="center"/>
    </w:pPr>
  </w:p>
  <w:p w14:paraId="2B7693BD" w14:textId="77777777" w:rsidR="006A24C3" w:rsidRDefault="006A24C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FE9E" w14:textId="77777777" w:rsidR="00CB3B90" w:rsidRDefault="00CB3B90" w:rsidP="0003055D">
      <w:r>
        <w:separator/>
      </w:r>
    </w:p>
  </w:footnote>
  <w:footnote w:type="continuationSeparator" w:id="0">
    <w:p w14:paraId="0BA5A7CC" w14:textId="77777777" w:rsidR="00CB3B90" w:rsidRDefault="00CB3B90" w:rsidP="000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BFD5" w14:textId="77777777" w:rsidR="0053280E" w:rsidRDefault="0053280E">
    <w:pPr>
      <w:pStyle w:val="Zhlav"/>
    </w:pPr>
    <w:r>
      <w:tab/>
    </w:r>
    <w:r>
      <w:tab/>
      <w:t xml:space="preserve">Příloha č. </w:t>
    </w:r>
    <w:r w:rsidR="00006B3E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300"/>
    <w:multiLevelType w:val="hybridMultilevel"/>
    <w:tmpl w:val="3F24B2B2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5F10DA"/>
    <w:multiLevelType w:val="hybridMultilevel"/>
    <w:tmpl w:val="E3967BA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3BE"/>
    <w:multiLevelType w:val="hybridMultilevel"/>
    <w:tmpl w:val="6F9E96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3B18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35A3C"/>
    <w:multiLevelType w:val="hybridMultilevel"/>
    <w:tmpl w:val="6FC2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AA44FA"/>
    <w:multiLevelType w:val="hybridMultilevel"/>
    <w:tmpl w:val="CE8454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2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A473132"/>
    <w:multiLevelType w:val="hybridMultilevel"/>
    <w:tmpl w:val="DA822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5E0B62"/>
    <w:multiLevelType w:val="hybridMultilevel"/>
    <w:tmpl w:val="92A68902"/>
    <w:lvl w:ilvl="0" w:tplc="B50C436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12C34"/>
    <w:multiLevelType w:val="hybridMultilevel"/>
    <w:tmpl w:val="8CDE8754"/>
    <w:lvl w:ilvl="0" w:tplc="3EB4D840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b w:val="0"/>
      </w:rPr>
    </w:lvl>
    <w:lvl w:ilvl="1" w:tplc="B45CE30E" w:tentative="1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</w:lvl>
    <w:lvl w:ilvl="2" w:tplc="226843DC" w:tentative="1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</w:lvl>
    <w:lvl w:ilvl="3" w:tplc="CB3E83D6" w:tentative="1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284C4B8C" w:tentative="1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</w:lvl>
    <w:lvl w:ilvl="5" w:tplc="A8A0B584" w:tentative="1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</w:lvl>
    <w:lvl w:ilvl="6" w:tplc="FA88C87A" w:tentative="1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679057D6" w:tentative="1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</w:lvl>
    <w:lvl w:ilvl="8" w:tplc="0866999A" w:tentative="1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</w:lvl>
  </w:abstractNum>
  <w:abstractNum w:abstractNumId="17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9A6D77"/>
    <w:multiLevelType w:val="hybridMultilevel"/>
    <w:tmpl w:val="540A70B8"/>
    <w:lvl w:ilvl="0" w:tplc="15B0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525EE"/>
    <w:multiLevelType w:val="hybridMultilevel"/>
    <w:tmpl w:val="DBF0158A"/>
    <w:lvl w:ilvl="0" w:tplc="B09E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911D4"/>
    <w:multiLevelType w:val="hybridMultilevel"/>
    <w:tmpl w:val="D5DC1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45C9"/>
    <w:multiLevelType w:val="hybridMultilevel"/>
    <w:tmpl w:val="35FC9456"/>
    <w:lvl w:ilvl="0" w:tplc="5CD02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18EB"/>
    <w:multiLevelType w:val="hybridMultilevel"/>
    <w:tmpl w:val="FC5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27"/>
  </w:num>
  <w:num w:numId="5">
    <w:abstractNumId w:val="11"/>
  </w:num>
  <w:num w:numId="6">
    <w:abstractNumId w:val="4"/>
  </w:num>
  <w:num w:numId="7">
    <w:abstractNumId w:val="17"/>
  </w:num>
  <w:num w:numId="8">
    <w:abstractNumId w:val="9"/>
  </w:num>
  <w:num w:numId="9">
    <w:abstractNumId w:val="20"/>
  </w:num>
  <w:num w:numId="10">
    <w:abstractNumId w:val="14"/>
  </w:num>
  <w:num w:numId="11">
    <w:abstractNumId w:val="19"/>
  </w:num>
  <w:num w:numId="12">
    <w:abstractNumId w:val="26"/>
  </w:num>
  <w:num w:numId="13">
    <w:abstractNumId w:val="25"/>
  </w:num>
  <w:num w:numId="14">
    <w:abstractNumId w:val="23"/>
  </w:num>
  <w:num w:numId="15">
    <w:abstractNumId w:val="5"/>
  </w:num>
  <w:num w:numId="16">
    <w:abstractNumId w:val="18"/>
  </w:num>
  <w:num w:numId="17">
    <w:abstractNumId w:val="30"/>
  </w:num>
  <w:num w:numId="18">
    <w:abstractNumId w:val="21"/>
  </w:num>
  <w:num w:numId="19">
    <w:abstractNumId w:val="28"/>
  </w:num>
  <w:num w:numId="20">
    <w:abstractNumId w:val="24"/>
  </w:num>
  <w:num w:numId="21">
    <w:abstractNumId w:val="13"/>
  </w:num>
  <w:num w:numId="22">
    <w:abstractNumId w:val="6"/>
  </w:num>
  <w:num w:numId="23">
    <w:abstractNumId w:val="22"/>
  </w:num>
  <w:num w:numId="24">
    <w:abstractNumId w:val="15"/>
  </w:num>
  <w:num w:numId="25">
    <w:abstractNumId w:val="10"/>
  </w:num>
  <w:num w:numId="26">
    <w:abstractNumId w:val="15"/>
  </w:num>
  <w:num w:numId="27">
    <w:abstractNumId w:val="0"/>
  </w:num>
  <w:num w:numId="28">
    <w:abstractNumId w:val="2"/>
  </w:num>
  <w:num w:numId="29">
    <w:abstractNumId w:val="16"/>
  </w:num>
  <w:num w:numId="30">
    <w:abstractNumId w:val="29"/>
  </w:num>
  <w:num w:numId="31">
    <w:abstractNumId w:val="8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5D"/>
    <w:rsid w:val="0000500F"/>
    <w:rsid w:val="00006959"/>
    <w:rsid w:val="00006B3E"/>
    <w:rsid w:val="00006DD9"/>
    <w:rsid w:val="000111FB"/>
    <w:rsid w:val="000137C5"/>
    <w:rsid w:val="0002083C"/>
    <w:rsid w:val="0003055D"/>
    <w:rsid w:val="00041AD4"/>
    <w:rsid w:val="00053B73"/>
    <w:rsid w:val="00053C47"/>
    <w:rsid w:val="00055A69"/>
    <w:rsid w:val="0007189E"/>
    <w:rsid w:val="00072E5B"/>
    <w:rsid w:val="0007781B"/>
    <w:rsid w:val="00083833"/>
    <w:rsid w:val="00086073"/>
    <w:rsid w:val="00096740"/>
    <w:rsid w:val="000C0B0D"/>
    <w:rsid w:val="000C6A10"/>
    <w:rsid w:val="000C6BFD"/>
    <w:rsid w:val="000C726B"/>
    <w:rsid w:val="000E1C2D"/>
    <w:rsid w:val="000E2B68"/>
    <w:rsid w:val="000F6D52"/>
    <w:rsid w:val="001052F8"/>
    <w:rsid w:val="001107F7"/>
    <w:rsid w:val="001151F1"/>
    <w:rsid w:val="00125C36"/>
    <w:rsid w:val="00125E92"/>
    <w:rsid w:val="00130BA4"/>
    <w:rsid w:val="00132866"/>
    <w:rsid w:val="00155A1B"/>
    <w:rsid w:val="001574ED"/>
    <w:rsid w:val="001608EF"/>
    <w:rsid w:val="00161466"/>
    <w:rsid w:val="001643BD"/>
    <w:rsid w:val="00170B44"/>
    <w:rsid w:val="0017663F"/>
    <w:rsid w:val="00186320"/>
    <w:rsid w:val="001C292F"/>
    <w:rsid w:val="001D1585"/>
    <w:rsid w:val="001D1B62"/>
    <w:rsid w:val="001D4D90"/>
    <w:rsid w:val="001D4E88"/>
    <w:rsid w:val="001E12B9"/>
    <w:rsid w:val="001E6031"/>
    <w:rsid w:val="001E77F6"/>
    <w:rsid w:val="001F2CAA"/>
    <w:rsid w:val="001F41E9"/>
    <w:rsid w:val="001F4AAE"/>
    <w:rsid w:val="00200F0C"/>
    <w:rsid w:val="00210FD0"/>
    <w:rsid w:val="00216070"/>
    <w:rsid w:val="00220A0F"/>
    <w:rsid w:val="00223C11"/>
    <w:rsid w:val="00224CEE"/>
    <w:rsid w:val="00232135"/>
    <w:rsid w:val="00235482"/>
    <w:rsid w:val="00251674"/>
    <w:rsid w:val="002558A8"/>
    <w:rsid w:val="0027030C"/>
    <w:rsid w:val="002749C3"/>
    <w:rsid w:val="00276B75"/>
    <w:rsid w:val="00277045"/>
    <w:rsid w:val="00286E06"/>
    <w:rsid w:val="00291D50"/>
    <w:rsid w:val="00294F46"/>
    <w:rsid w:val="00297D6A"/>
    <w:rsid w:val="002B643A"/>
    <w:rsid w:val="002B664F"/>
    <w:rsid w:val="002B7867"/>
    <w:rsid w:val="002C0FB4"/>
    <w:rsid w:val="002D7CDF"/>
    <w:rsid w:val="002E319E"/>
    <w:rsid w:val="002F120C"/>
    <w:rsid w:val="0031685C"/>
    <w:rsid w:val="00320CD9"/>
    <w:rsid w:val="0032351B"/>
    <w:rsid w:val="00324D31"/>
    <w:rsid w:val="00333288"/>
    <w:rsid w:val="0033556B"/>
    <w:rsid w:val="003451B9"/>
    <w:rsid w:val="00362260"/>
    <w:rsid w:val="0036246F"/>
    <w:rsid w:val="00372859"/>
    <w:rsid w:val="00375D34"/>
    <w:rsid w:val="00375D88"/>
    <w:rsid w:val="00385F88"/>
    <w:rsid w:val="00395FBF"/>
    <w:rsid w:val="003A089E"/>
    <w:rsid w:val="003A500B"/>
    <w:rsid w:val="003A733D"/>
    <w:rsid w:val="003B2105"/>
    <w:rsid w:val="003B61EF"/>
    <w:rsid w:val="003F1A9A"/>
    <w:rsid w:val="003F1BDD"/>
    <w:rsid w:val="003F3229"/>
    <w:rsid w:val="003F3B25"/>
    <w:rsid w:val="003F7D22"/>
    <w:rsid w:val="00402267"/>
    <w:rsid w:val="00407584"/>
    <w:rsid w:val="00421806"/>
    <w:rsid w:val="00424FF4"/>
    <w:rsid w:val="00426874"/>
    <w:rsid w:val="004273D7"/>
    <w:rsid w:val="00435120"/>
    <w:rsid w:val="00441476"/>
    <w:rsid w:val="00446A8C"/>
    <w:rsid w:val="00461FF9"/>
    <w:rsid w:val="00464C61"/>
    <w:rsid w:val="00466633"/>
    <w:rsid w:val="0048267A"/>
    <w:rsid w:val="00486C87"/>
    <w:rsid w:val="004878DA"/>
    <w:rsid w:val="00496749"/>
    <w:rsid w:val="004C20A0"/>
    <w:rsid w:val="004C23D0"/>
    <w:rsid w:val="004D10B3"/>
    <w:rsid w:val="004D69DA"/>
    <w:rsid w:val="004E2B52"/>
    <w:rsid w:val="004F5071"/>
    <w:rsid w:val="004F5E1D"/>
    <w:rsid w:val="004F6C8C"/>
    <w:rsid w:val="005014D5"/>
    <w:rsid w:val="00501694"/>
    <w:rsid w:val="00506B60"/>
    <w:rsid w:val="00506E2B"/>
    <w:rsid w:val="00507091"/>
    <w:rsid w:val="005134E0"/>
    <w:rsid w:val="00522316"/>
    <w:rsid w:val="00530732"/>
    <w:rsid w:val="00532248"/>
    <w:rsid w:val="0053280E"/>
    <w:rsid w:val="005340ED"/>
    <w:rsid w:val="0053439D"/>
    <w:rsid w:val="0053518B"/>
    <w:rsid w:val="00536AB2"/>
    <w:rsid w:val="005557E1"/>
    <w:rsid w:val="0055586B"/>
    <w:rsid w:val="00563DAA"/>
    <w:rsid w:val="00567B96"/>
    <w:rsid w:val="00572058"/>
    <w:rsid w:val="00583066"/>
    <w:rsid w:val="005919E9"/>
    <w:rsid w:val="00593430"/>
    <w:rsid w:val="00593D8D"/>
    <w:rsid w:val="0059698A"/>
    <w:rsid w:val="005A6FD2"/>
    <w:rsid w:val="005A74E2"/>
    <w:rsid w:val="005B5933"/>
    <w:rsid w:val="005B7C33"/>
    <w:rsid w:val="005C7B78"/>
    <w:rsid w:val="005D300A"/>
    <w:rsid w:val="005D5E49"/>
    <w:rsid w:val="005E1476"/>
    <w:rsid w:val="005E2F76"/>
    <w:rsid w:val="005E4C02"/>
    <w:rsid w:val="005E545D"/>
    <w:rsid w:val="005E54BB"/>
    <w:rsid w:val="005E676D"/>
    <w:rsid w:val="005E6ECF"/>
    <w:rsid w:val="005F5084"/>
    <w:rsid w:val="00612715"/>
    <w:rsid w:val="00614CBC"/>
    <w:rsid w:val="00626607"/>
    <w:rsid w:val="0062734C"/>
    <w:rsid w:val="00635643"/>
    <w:rsid w:val="0064765B"/>
    <w:rsid w:val="00647793"/>
    <w:rsid w:val="00647F6E"/>
    <w:rsid w:val="006718E8"/>
    <w:rsid w:val="00672905"/>
    <w:rsid w:val="0068353D"/>
    <w:rsid w:val="006837B4"/>
    <w:rsid w:val="00684A19"/>
    <w:rsid w:val="0068700D"/>
    <w:rsid w:val="00687824"/>
    <w:rsid w:val="00691EC5"/>
    <w:rsid w:val="00694B26"/>
    <w:rsid w:val="006A24C3"/>
    <w:rsid w:val="006A7349"/>
    <w:rsid w:val="006B0518"/>
    <w:rsid w:val="006B72FB"/>
    <w:rsid w:val="006D56AC"/>
    <w:rsid w:val="006D614D"/>
    <w:rsid w:val="006F25D4"/>
    <w:rsid w:val="0070116D"/>
    <w:rsid w:val="007159C0"/>
    <w:rsid w:val="00720C8D"/>
    <w:rsid w:val="00735041"/>
    <w:rsid w:val="007359BA"/>
    <w:rsid w:val="00737EB1"/>
    <w:rsid w:val="00750B1B"/>
    <w:rsid w:val="00755727"/>
    <w:rsid w:val="007633C7"/>
    <w:rsid w:val="007652EE"/>
    <w:rsid w:val="007665EB"/>
    <w:rsid w:val="0076757E"/>
    <w:rsid w:val="00774C08"/>
    <w:rsid w:val="00775251"/>
    <w:rsid w:val="00782BA6"/>
    <w:rsid w:val="007939BB"/>
    <w:rsid w:val="00797A42"/>
    <w:rsid w:val="007A0B46"/>
    <w:rsid w:val="007A4A0F"/>
    <w:rsid w:val="007B2DC2"/>
    <w:rsid w:val="007B73D3"/>
    <w:rsid w:val="007D29A7"/>
    <w:rsid w:val="007D2DFA"/>
    <w:rsid w:val="007D427C"/>
    <w:rsid w:val="007D7AF4"/>
    <w:rsid w:val="007E3AE1"/>
    <w:rsid w:val="007F1279"/>
    <w:rsid w:val="007F6C15"/>
    <w:rsid w:val="008013C2"/>
    <w:rsid w:val="00804BC3"/>
    <w:rsid w:val="00841711"/>
    <w:rsid w:val="0085296C"/>
    <w:rsid w:val="00854DE5"/>
    <w:rsid w:val="00857819"/>
    <w:rsid w:val="00861740"/>
    <w:rsid w:val="0087789B"/>
    <w:rsid w:val="008811C3"/>
    <w:rsid w:val="008852D9"/>
    <w:rsid w:val="00886950"/>
    <w:rsid w:val="008954F2"/>
    <w:rsid w:val="00895DEF"/>
    <w:rsid w:val="008A0539"/>
    <w:rsid w:val="008A1681"/>
    <w:rsid w:val="008A2317"/>
    <w:rsid w:val="008A5F0E"/>
    <w:rsid w:val="008B185E"/>
    <w:rsid w:val="008C27C2"/>
    <w:rsid w:val="008E0CED"/>
    <w:rsid w:val="008E213A"/>
    <w:rsid w:val="008F5B39"/>
    <w:rsid w:val="00902752"/>
    <w:rsid w:val="00903BD9"/>
    <w:rsid w:val="00913FB5"/>
    <w:rsid w:val="009422FC"/>
    <w:rsid w:val="00942A30"/>
    <w:rsid w:val="0095151F"/>
    <w:rsid w:val="009572CB"/>
    <w:rsid w:val="009651DB"/>
    <w:rsid w:val="00973842"/>
    <w:rsid w:val="0098267E"/>
    <w:rsid w:val="00982F31"/>
    <w:rsid w:val="00986B77"/>
    <w:rsid w:val="00990391"/>
    <w:rsid w:val="0099197C"/>
    <w:rsid w:val="00995A97"/>
    <w:rsid w:val="009B4406"/>
    <w:rsid w:val="009D0402"/>
    <w:rsid w:val="009D3CCE"/>
    <w:rsid w:val="009D5383"/>
    <w:rsid w:val="009D6CEB"/>
    <w:rsid w:val="009E0F3D"/>
    <w:rsid w:val="009E4F32"/>
    <w:rsid w:val="009E7176"/>
    <w:rsid w:val="00A0073F"/>
    <w:rsid w:val="00A01044"/>
    <w:rsid w:val="00A17F45"/>
    <w:rsid w:val="00A27AEF"/>
    <w:rsid w:val="00A6195D"/>
    <w:rsid w:val="00A62A4E"/>
    <w:rsid w:val="00A73BF4"/>
    <w:rsid w:val="00A75817"/>
    <w:rsid w:val="00A76DE0"/>
    <w:rsid w:val="00A8116B"/>
    <w:rsid w:val="00A83698"/>
    <w:rsid w:val="00A90C47"/>
    <w:rsid w:val="00AA7A35"/>
    <w:rsid w:val="00AB1F1C"/>
    <w:rsid w:val="00AC02D0"/>
    <w:rsid w:val="00AC7459"/>
    <w:rsid w:val="00AD00A9"/>
    <w:rsid w:val="00AD0979"/>
    <w:rsid w:val="00AD0C54"/>
    <w:rsid w:val="00AD344B"/>
    <w:rsid w:val="00AD6A60"/>
    <w:rsid w:val="00AF3070"/>
    <w:rsid w:val="00AF3297"/>
    <w:rsid w:val="00B05F13"/>
    <w:rsid w:val="00B201CD"/>
    <w:rsid w:val="00B22DFF"/>
    <w:rsid w:val="00B404E8"/>
    <w:rsid w:val="00B455EC"/>
    <w:rsid w:val="00B46539"/>
    <w:rsid w:val="00B5432B"/>
    <w:rsid w:val="00B57278"/>
    <w:rsid w:val="00B627A6"/>
    <w:rsid w:val="00B67BF5"/>
    <w:rsid w:val="00B72212"/>
    <w:rsid w:val="00B73638"/>
    <w:rsid w:val="00B81E72"/>
    <w:rsid w:val="00B820DC"/>
    <w:rsid w:val="00B84790"/>
    <w:rsid w:val="00B92979"/>
    <w:rsid w:val="00BA0C64"/>
    <w:rsid w:val="00BA41FE"/>
    <w:rsid w:val="00BA59F4"/>
    <w:rsid w:val="00BA77E4"/>
    <w:rsid w:val="00BB44AC"/>
    <w:rsid w:val="00BC42F2"/>
    <w:rsid w:val="00BC7426"/>
    <w:rsid w:val="00BD78B2"/>
    <w:rsid w:val="00BF35AC"/>
    <w:rsid w:val="00BF6BE1"/>
    <w:rsid w:val="00C17AC1"/>
    <w:rsid w:val="00C20A51"/>
    <w:rsid w:val="00C20AC7"/>
    <w:rsid w:val="00C22B1F"/>
    <w:rsid w:val="00C23746"/>
    <w:rsid w:val="00C37AF3"/>
    <w:rsid w:val="00C45C3C"/>
    <w:rsid w:val="00C55F74"/>
    <w:rsid w:val="00C62FC1"/>
    <w:rsid w:val="00C66627"/>
    <w:rsid w:val="00C70D8B"/>
    <w:rsid w:val="00C83B30"/>
    <w:rsid w:val="00C84642"/>
    <w:rsid w:val="00CA1FA3"/>
    <w:rsid w:val="00CB0846"/>
    <w:rsid w:val="00CB3B90"/>
    <w:rsid w:val="00CB4CD7"/>
    <w:rsid w:val="00CC2C76"/>
    <w:rsid w:val="00CC5E06"/>
    <w:rsid w:val="00CD6FD7"/>
    <w:rsid w:val="00CE0E20"/>
    <w:rsid w:val="00CE1478"/>
    <w:rsid w:val="00CE1A2A"/>
    <w:rsid w:val="00CE2D81"/>
    <w:rsid w:val="00CF1696"/>
    <w:rsid w:val="00CF356F"/>
    <w:rsid w:val="00D10680"/>
    <w:rsid w:val="00D14858"/>
    <w:rsid w:val="00D20967"/>
    <w:rsid w:val="00D23153"/>
    <w:rsid w:val="00D23B3D"/>
    <w:rsid w:val="00D3212A"/>
    <w:rsid w:val="00D323CF"/>
    <w:rsid w:val="00D32543"/>
    <w:rsid w:val="00D327C4"/>
    <w:rsid w:val="00D400B2"/>
    <w:rsid w:val="00D426DD"/>
    <w:rsid w:val="00D43C56"/>
    <w:rsid w:val="00D50A87"/>
    <w:rsid w:val="00D600B2"/>
    <w:rsid w:val="00D6069F"/>
    <w:rsid w:val="00D66E84"/>
    <w:rsid w:val="00D82937"/>
    <w:rsid w:val="00D86047"/>
    <w:rsid w:val="00D86346"/>
    <w:rsid w:val="00D95217"/>
    <w:rsid w:val="00DA6A30"/>
    <w:rsid w:val="00DB5108"/>
    <w:rsid w:val="00DC2DC3"/>
    <w:rsid w:val="00DD4D76"/>
    <w:rsid w:val="00DF0753"/>
    <w:rsid w:val="00DF22C8"/>
    <w:rsid w:val="00E03840"/>
    <w:rsid w:val="00E04236"/>
    <w:rsid w:val="00E144B6"/>
    <w:rsid w:val="00E22751"/>
    <w:rsid w:val="00E2765D"/>
    <w:rsid w:val="00E4463A"/>
    <w:rsid w:val="00E461E2"/>
    <w:rsid w:val="00E54A6D"/>
    <w:rsid w:val="00E54F45"/>
    <w:rsid w:val="00E61B83"/>
    <w:rsid w:val="00E61D13"/>
    <w:rsid w:val="00E622E8"/>
    <w:rsid w:val="00E745F7"/>
    <w:rsid w:val="00E75020"/>
    <w:rsid w:val="00E84A71"/>
    <w:rsid w:val="00E96057"/>
    <w:rsid w:val="00E966F7"/>
    <w:rsid w:val="00EB4A83"/>
    <w:rsid w:val="00EC3942"/>
    <w:rsid w:val="00EC7891"/>
    <w:rsid w:val="00ED5046"/>
    <w:rsid w:val="00ED57C5"/>
    <w:rsid w:val="00ED5F48"/>
    <w:rsid w:val="00ED68C3"/>
    <w:rsid w:val="00EE0B91"/>
    <w:rsid w:val="00EF5321"/>
    <w:rsid w:val="00F0223A"/>
    <w:rsid w:val="00F037F8"/>
    <w:rsid w:val="00F1101E"/>
    <w:rsid w:val="00F15DF5"/>
    <w:rsid w:val="00F26675"/>
    <w:rsid w:val="00F3157C"/>
    <w:rsid w:val="00F326D3"/>
    <w:rsid w:val="00F36EB5"/>
    <w:rsid w:val="00F446E8"/>
    <w:rsid w:val="00F46A50"/>
    <w:rsid w:val="00F470A9"/>
    <w:rsid w:val="00F517E6"/>
    <w:rsid w:val="00F51F37"/>
    <w:rsid w:val="00F743D1"/>
    <w:rsid w:val="00F8048E"/>
    <w:rsid w:val="00F819A5"/>
    <w:rsid w:val="00F91F40"/>
    <w:rsid w:val="00F93446"/>
    <w:rsid w:val="00F9508F"/>
    <w:rsid w:val="00FB3A61"/>
    <w:rsid w:val="00FB4A7E"/>
    <w:rsid w:val="00FC0AB5"/>
    <w:rsid w:val="00FD0F01"/>
    <w:rsid w:val="00FD64E4"/>
    <w:rsid w:val="00FD7901"/>
    <w:rsid w:val="00FE1892"/>
    <w:rsid w:val="00FE2EB9"/>
    <w:rsid w:val="00FE3E6B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A2C9F8"/>
  <w15:docId w15:val="{DD9883AA-EE89-482F-96A9-7F1996B3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752"/>
    <w:pPr>
      <w:suppressAutoHyphens/>
      <w:spacing w:before="120" w:after="120"/>
      <w:jc w:val="both"/>
    </w:pPr>
    <w:rPr>
      <w:rFonts w:asciiTheme="minorHAnsi" w:eastAsia="Times New Roman" w:hAnsiTheme="minorHAnsi" w:cs="Calibri"/>
      <w:sz w:val="22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7867"/>
    <w:pPr>
      <w:keepNext/>
      <w:keepLines/>
      <w:numPr>
        <w:numId w:val="24"/>
      </w:numPr>
      <w:spacing w:before="240"/>
      <w:jc w:val="center"/>
      <w:outlineLvl w:val="0"/>
    </w:pPr>
    <w:rPr>
      <w:rFonts w:ascii="Cambria" w:eastAsiaTheme="majorEastAsia" w:hAnsi="Cambria" w:cstheme="majorBidi"/>
      <w:b/>
      <w:bCs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rsid w:val="000305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34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rPr>
      <w:rFonts w:cs="Times New Roman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608EF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mavtabulkasmkou5zvraznn61">
    <w:name w:val="Tmavá tabulka s mřížkou 5 – zvýraznění 61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59"/>
    <w:rsid w:val="00534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1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F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FA3"/>
    <w:rPr>
      <w:rFonts w:ascii="Times New Roman" w:eastAsia="Times New Roman" w:hAnsi="Times New Roman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FA3"/>
    <w:rPr>
      <w:rFonts w:ascii="Times New Roman" w:eastAsia="Times New Roman" w:hAnsi="Times New Roman" w:cs="Calibri"/>
      <w:b/>
      <w:bCs/>
      <w:lang w:eastAsia="ar-SA"/>
    </w:rPr>
  </w:style>
  <w:style w:type="character" w:customStyle="1" w:styleId="apple-converted-space">
    <w:name w:val="apple-converted-space"/>
    <w:basedOn w:val="Standardnpsmoodstavce"/>
    <w:rsid w:val="00F93446"/>
  </w:style>
  <w:style w:type="character" w:customStyle="1" w:styleId="Nadpis1Char">
    <w:name w:val="Nadpis 1 Char"/>
    <w:basedOn w:val="Standardnpsmoodstavce"/>
    <w:link w:val="Nadpis1"/>
    <w:uiPriority w:val="9"/>
    <w:rsid w:val="002B7867"/>
    <w:rPr>
      <w:rFonts w:ascii="Cambria" w:eastAsiaTheme="majorEastAsia" w:hAnsi="Cambria" w:cstheme="majorBidi"/>
      <w:b/>
      <w:bCs/>
      <w:sz w:val="24"/>
      <w:szCs w:val="28"/>
      <w:lang w:eastAsia="ar-SA"/>
    </w:rPr>
  </w:style>
  <w:style w:type="paragraph" w:customStyle="1" w:styleId="Char">
    <w:name w:val="Char"/>
    <w:basedOn w:val="Normln"/>
    <w:rsid w:val="006B72FB"/>
    <w:pPr>
      <w:suppressAutoHyphens w:val="0"/>
      <w:spacing w:before="0"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3633-5801-4F67-926A-A40E1011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
      </vt:lpstr>
    </vt:vector>
  </TitlesOfParts>
  <Company>Microsoft</Company>
  <LinksUpToDate>false</LinksUpToDate>
  <CharactersWithSpaces>9283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Marketuzz</dc:creator>
  <cp:lastModifiedBy>Markéta Chrbolková</cp:lastModifiedBy>
  <cp:revision>3</cp:revision>
  <cp:lastPrinted>2017-01-17T07:30:00Z</cp:lastPrinted>
  <dcterms:created xsi:type="dcterms:W3CDTF">2021-07-12T07:04:00Z</dcterms:created>
  <dcterms:modified xsi:type="dcterms:W3CDTF">2021-07-15T18:25:00Z</dcterms:modified>
</cp:coreProperties>
</file>