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97EE" w14:textId="02274D51" w:rsidR="00E82657" w:rsidRPr="00514C9F" w:rsidRDefault="00E82657" w:rsidP="00E82657">
      <w:pPr>
        <w:rPr>
          <w:lang w:val="cs-CZ"/>
        </w:rPr>
      </w:pPr>
    </w:p>
    <w:tbl>
      <w:tblPr>
        <w:tblW w:w="14695" w:type="dxa"/>
        <w:tblInd w:w="-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1620"/>
        <w:gridCol w:w="2700"/>
        <w:gridCol w:w="1260"/>
        <w:gridCol w:w="1080"/>
        <w:gridCol w:w="612"/>
        <w:gridCol w:w="108"/>
        <w:gridCol w:w="720"/>
        <w:gridCol w:w="2160"/>
        <w:gridCol w:w="1140"/>
        <w:gridCol w:w="1255"/>
      </w:tblGrid>
      <w:tr w:rsidR="00E82657" w:rsidRPr="00514C9F" w14:paraId="79380ED6" w14:textId="77777777" w:rsidTr="0049425D">
        <w:trPr>
          <w:cantSplit/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C36537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proofErr w:type="spellStart"/>
            <w:r w:rsidRPr="00514C9F">
              <w:rPr>
                <w:lang w:val="cs-CZ"/>
              </w:rPr>
              <w:t>Reg</w:t>
            </w:r>
            <w:proofErr w:type="spellEnd"/>
            <w:r w:rsidRPr="00514C9F">
              <w:rPr>
                <w:lang w:val="cs-CZ"/>
              </w:rPr>
              <w:t>. č. dop. látky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E0EF46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Jméno a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reg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. č. osoby odpovědné za uvedení do oběhu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EC3E6C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7C78DFF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35F79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Složení,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chem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. vzorec, popis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568B12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C61EA3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</w:t>
            </w:r>
          </w:p>
          <w:p w14:paraId="5362CB7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23A65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B012F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77D5827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C356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období povolení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988BC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limity reziduí v příslušných potravinách živočišného původu</w:t>
            </w:r>
          </w:p>
        </w:tc>
      </w:tr>
      <w:tr w:rsidR="00E82657" w:rsidRPr="00514C9F" w14:paraId="6AA039A8" w14:textId="77777777" w:rsidTr="0049425D">
        <w:trPr>
          <w:cantSplit/>
          <w:tblHeader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9E200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B3E8E5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E89B6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9F279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BED63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2E1B8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E318E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404B4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50DC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3E787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7111B329" w14:textId="77777777" w:rsidTr="0049425D">
        <w:trPr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D0C65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756999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4E9AA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28FFB5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AA306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4103D5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0EA6A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31BF8F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29BF5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9F4B1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09FB3064" w14:textId="77777777" w:rsidTr="0049425D">
        <w:trPr>
          <w:trHeight w:val="548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13100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E 757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599D41" w14:textId="77777777" w:rsidR="00E82657" w:rsidRPr="00457776" w:rsidRDefault="00457776" w:rsidP="0049425D">
            <w:pPr>
              <w:rPr>
                <w:sz w:val="20"/>
                <w:vertAlign w:val="superscript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Elanco</w:t>
            </w:r>
            <w:proofErr w:type="spellEnd"/>
            <w:r>
              <w:rPr>
                <w:sz w:val="20"/>
                <w:lang w:val="cs-CZ"/>
              </w:rPr>
              <w:t xml:space="preserve"> GmbH</w:t>
            </w:r>
            <w:r>
              <w:rPr>
                <w:sz w:val="20"/>
                <w:vertAlign w:val="superscript"/>
                <w:lang w:val="cs-CZ"/>
              </w:rPr>
              <w:t>58)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F2848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MONENSINÁT SODNÝ</w:t>
            </w:r>
          </w:p>
          <w:p w14:paraId="0BD2240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17BDE2D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6AB3021A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706496A7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5DF4847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088BD17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76F0314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779E4EB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0F3EED6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Elancoban</w:t>
            </w:r>
            <w:proofErr w:type="spellEnd"/>
            <w:r w:rsidRPr="00514C9F">
              <w:rPr>
                <w:sz w:val="20"/>
                <w:lang w:val="cs-CZ"/>
              </w:rPr>
              <w:t xml:space="preserve"> G100,</w:t>
            </w:r>
          </w:p>
          <w:p w14:paraId="7C25FB9A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Elancoban</w:t>
            </w:r>
            <w:proofErr w:type="spellEnd"/>
            <w:r w:rsidRPr="00514C9F">
              <w:rPr>
                <w:sz w:val="20"/>
                <w:lang w:val="cs-CZ"/>
              </w:rPr>
              <w:t xml:space="preserve"> 100,</w:t>
            </w:r>
          </w:p>
          <w:p w14:paraId="583240D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Elancogran</w:t>
            </w:r>
            <w:proofErr w:type="spellEnd"/>
            <w:r w:rsidRPr="00514C9F">
              <w:rPr>
                <w:sz w:val="20"/>
                <w:lang w:val="cs-CZ"/>
              </w:rPr>
              <w:t xml:space="preserve"> 100,</w:t>
            </w:r>
          </w:p>
          <w:p w14:paraId="1AEDBE7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Elancoban</w:t>
            </w:r>
            <w:proofErr w:type="spellEnd"/>
            <w:r w:rsidRPr="00514C9F">
              <w:rPr>
                <w:sz w:val="20"/>
                <w:lang w:val="cs-CZ"/>
              </w:rPr>
              <w:t xml:space="preserve"> G200,</w:t>
            </w:r>
          </w:p>
          <w:p w14:paraId="2DB1811A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Elancoban</w:t>
            </w:r>
            <w:proofErr w:type="spellEnd"/>
            <w:r w:rsidRPr="00514C9F">
              <w:rPr>
                <w:sz w:val="20"/>
                <w:lang w:val="cs-CZ"/>
              </w:rPr>
              <w:t xml:space="preserve"> 200)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DB2850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účinná látka:</w:t>
            </w:r>
          </w:p>
          <w:p w14:paraId="14A75649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C</w:t>
            </w:r>
            <w:r w:rsidRPr="00514C9F">
              <w:rPr>
                <w:sz w:val="20"/>
                <w:vertAlign w:val="subscript"/>
                <w:lang w:val="cs-CZ"/>
              </w:rPr>
              <w:t>36</w:t>
            </w:r>
            <w:r w:rsidRPr="00514C9F">
              <w:rPr>
                <w:sz w:val="20"/>
                <w:lang w:val="cs-CZ"/>
              </w:rPr>
              <w:t>H</w:t>
            </w:r>
            <w:r w:rsidRPr="00514C9F">
              <w:rPr>
                <w:sz w:val="20"/>
                <w:vertAlign w:val="subscript"/>
                <w:lang w:val="cs-CZ"/>
              </w:rPr>
              <w:t>61</w:t>
            </w:r>
            <w:r w:rsidRPr="00514C9F">
              <w:rPr>
                <w:sz w:val="20"/>
                <w:lang w:val="cs-CZ"/>
              </w:rPr>
              <w:t>O</w:t>
            </w:r>
            <w:r w:rsidRPr="00514C9F">
              <w:rPr>
                <w:sz w:val="20"/>
                <w:vertAlign w:val="subscript"/>
                <w:lang w:val="cs-CZ"/>
              </w:rPr>
              <w:t>11</w:t>
            </w:r>
            <w:r w:rsidRPr="00514C9F">
              <w:rPr>
                <w:sz w:val="20"/>
                <w:lang w:val="cs-CZ"/>
              </w:rPr>
              <w:t>Na</w:t>
            </w:r>
          </w:p>
          <w:p w14:paraId="72A5ED15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sodná sůl </w:t>
            </w:r>
            <w:proofErr w:type="spellStart"/>
            <w:proofErr w:type="gramStart"/>
            <w:r w:rsidRPr="00514C9F">
              <w:rPr>
                <w:sz w:val="20"/>
                <w:lang w:val="cs-CZ"/>
              </w:rPr>
              <w:t>polyeteru</w:t>
            </w:r>
            <w:proofErr w:type="spellEnd"/>
            <w:r w:rsidRPr="00514C9F">
              <w:rPr>
                <w:sz w:val="20"/>
                <w:lang w:val="cs-CZ"/>
              </w:rPr>
              <w:t xml:space="preserve">  kyseliny</w:t>
            </w:r>
            <w:proofErr w:type="gramEnd"/>
            <w:r w:rsidRPr="00514C9F">
              <w:rPr>
                <w:sz w:val="20"/>
                <w:lang w:val="cs-CZ"/>
              </w:rPr>
              <w:t xml:space="preserve"> monokarboxylové   produkovaná </w:t>
            </w:r>
            <w:proofErr w:type="spellStart"/>
            <w:r w:rsidRPr="00514C9F">
              <w:rPr>
                <w:i/>
                <w:sz w:val="20"/>
                <w:lang w:val="cs-CZ"/>
              </w:rPr>
              <w:t>Streptomyces</w:t>
            </w:r>
            <w:proofErr w:type="spellEnd"/>
            <w:r w:rsidRPr="00514C9F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i/>
                <w:sz w:val="20"/>
                <w:lang w:val="cs-CZ"/>
              </w:rPr>
              <w:t>cinnamonensis</w:t>
            </w:r>
            <w:proofErr w:type="spellEnd"/>
            <w:r w:rsidRPr="00514C9F">
              <w:rPr>
                <w:sz w:val="20"/>
                <w:lang w:val="cs-CZ"/>
              </w:rPr>
              <w:t>, ATCC 15413 v granulích.</w:t>
            </w:r>
          </w:p>
          <w:p w14:paraId="6285322B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Poměr složek:</w:t>
            </w:r>
          </w:p>
          <w:p w14:paraId="2AE2790F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Monensin</w:t>
            </w:r>
            <w:proofErr w:type="spellEnd"/>
            <w:r w:rsidRPr="00514C9F">
              <w:rPr>
                <w:sz w:val="20"/>
                <w:lang w:val="cs-CZ"/>
              </w:rPr>
              <w:t xml:space="preserve"> A: </w:t>
            </w:r>
            <w:proofErr w:type="spellStart"/>
            <w:r w:rsidRPr="00514C9F">
              <w:rPr>
                <w:sz w:val="20"/>
                <w:lang w:val="cs-CZ"/>
              </w:rPr>
              <w:t>né</w:t>
            </w:r>
            <w:proofErr w:type="spellEnd"/>
            <w:r w:rsidRPr="00514C9F">
              <w:rPr>
                <w:sz w:val="20"/>
                <w:lang w:val="cs-CZ"/>
              </w:rPr>
              <w:t xml:space="preserve"> méně </w:t>
            </w:r>
            <w:proofErr w:type="gramStart"/>
            <w:r w:rsidRPr="00514C9F">
              <w:rPr>
                <w:sz w:val="20"/>
                <w:lang w:val="cs-CZ"/>
              </w:rPr>
              <w:t>než  90</w:t>
            </w:r>
            <w:proofErr w:type="gramEnd"/>
            <w:r w:rsidRPr="00514C9F">
              <w:rPr>
                <w:sz w:val="20"/>
                <w:lang w:val="cs-CZ"/>
              </w:rPr>
              <w:t xml:space="preserve"> %</w:t>
            </w:r>
          </w:p>
          <w:p w14:paraId="4D4AFB55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Monensin</w:t>
            </w:r>
            <w:proofErr w:type="spellEnd"/>
            <w:r w:rsidRPr="00514C9F">
              <w:rPr>
                <w:sz w:val="20"/>
                <w:lang w:val="cs-CZ"/>
              </w:rPr>
              <w:t xml:space="preserve">: A+B: </w:t>
            </w:r>
            <w:proofErr w:type="spellStart"/>
            <w:r w:rsidRPr="00514C9F">
              <w:rPr>
                <w:sz w:val="20"/>
                <w:lang w:val="cs-CZ"/>
              </w:rPr>
              <w:t>né</w:t>
            </w:r>
            <w:proofErr w:type="spellEnd"/>
            <w:r w:rsidRPr="00514C9F">
              <w:rPr>
                <w:sz w:val="20"/>
                <w:lang w:val="cs-CZ"/>
              </w:rPr>
              <w:t xml:space="preserve"> měně </w:t>
            </w:r>
            <w:proofErr w:type="gramStart"/>
            <w:r w:rsidRPr="00514C9F">
              <w:rPr>
                <w:sz w:val="20"/>
                <w:lang w:val="cs-CZ"/>
              </w:rPr>
              <w:t>než  95</w:t>
            </w:r>
            <w:proofErr w:type="gramEnd"/>
            <w:r w:rsidRPr="00514C9F">
              <w:rPr>
                <w:sz w:val="20"/>
                <w:lang w:val="cs-CZ"/>
              </w:rPr>
              <w:t xml:space="preserve"> %</w:t>
            </w:r>
          </w:p>
          <w:p w14:paraId="5098BF46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složení doplňkové látky:</w:t>
            </w:r>
          </w:p>
          <w:p w14:paraId="0EEEC0A4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Granulovaný </w:t>
            </w:r>
            <w:proofErr w:type="spellStart"/>
            <w:r w:rsidRPr="00514C9F">
              <w:rPr>
                <w:sz w:val="20"/>
                <w:lang w:val="cs-CZ"/>
              </w:rPr>
              <w:t>monensinát</w:t>
            </w:r>
            <w:proofErr w:type="spellEnd"/>
            <w:r w:rsidRPr="00514C9F">
              <w:rPr>
                <w:sz w:val="20"/>
                <w:lang w:val="cs-CZ"/>
              </w:rPr>
              <w:t xml:space="preserve"> (sušený fermentační produkt) odpovídající aktivitě </w:t>
            </w:r>
            <w:proofErr w:type="spellStart"/>
            <w:r w:rsidRPr="00514C9F">
              <w:rPr>
                <w:sz w:val="20"/>
                <w:lang w:val="cs-CZ"/>
              </w:rPr>
              <w:t>monensinu</w:t>
            </w:r>
            <w:proofErr w:type="spellEnd"/>
            <w:r w:rsidRPr="00514C9F">
              <w:rPr>
                <w:sz w:val="20"/>
                <w:lang w:val="cs-CZ"/>
              </w:rPr>
              <w:t xml:space="preserve"> 10 % w/w</w:t>
            </w:r>
          </w:p>
          <w:p w14:paraId="78610FBE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Minerální olej 1-3 % w/w</w:t>
            </w:r>
          </w:p>
          <w:p w14:paraId="3EA5E6C2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Granulovaný vápenec 13-23 % w/w</w:t>
            </w:r>
          </w:p>
          <w:p w14:paraId="7D926854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Rýžové slupky nebo granulovaný vápenec ad 100 % w/w</w:t>
            </w:r>
          </w:p>
          <w:p w14:paraId="74B96622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Granulovaný </w:t>
            </w:r>
            <w:proofErr w:type="spellStart"/>
            <w:r w:rsidRPr="00514C9F">
              <w:rPr>
                <w:sz w:val="20"/>
                <w:lang w:val="cs-CZ"/>
              </w:rPr>
              <w:t>monensinát</w:t>
            </w:r>
            <w:proofErr w:type="spellEnd"/>
            <w:r w:rsidRPr="00514C9F">
              <w:rPr>
                <w:sz w:val="20"/>
                <w:lang w:val="cs-CZ"/>
              </w:rPr>
              <w:t xml:space="preserve"> (sušený fermentační produkt) odpovídající aktivitě </w:t>
            </w:r>
            <w:proofErr w:type="spellStart"/>
            <w:r w:rsidRPr="00514C9F">
              <w:rPr>
                <w:sz w:val="20"/>
                <w:lang w:val="cs-CZ"/>
              </w:rPr>
              <w:t>monensinu</w:t>
            </w:r>
            <w:proofErr w:type="spellEnd"/>
            <w:r w:rsidRPr="00514C9F">
              <w:rPr>
                <w:sz w:val="20"/>
                <w:lang w:val="cs-CZ"/>
              </w:rPr>
              <w:t xml:space="preserve"> 20 % w/w</w:t>
            </w:r>
          </w:p>
          <w:p w14:paraId="07901DDE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Minerální olej 1-3 % w/w</w:t>
            </w:r>
          </w:p>
          <w:p w14:paraId="3ED67656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lang w:val="cs-CZ"/>
              </w:rPr>
              <w:lastRenderedPageBreak/>
              <w:t>Rýžové slupky nebo granulovaný vápenec ad 100 % w/w</w:t>
            </w:r>
            <w:r w:rsidRPr="00514C9F">
              <w:rPr>
                <w:sz w:val="20"/>
                <w:vertAlign w:val="superscript"/>
                <w:lang w:val="cs-CZ"/>
              </w:rPr>
              <w:t>31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868CEB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lastRenderedPageBreak/>
              <w:t>výkrm kuřat</w:t>
            </w:r>
          </w:p>
          <w:p w14:paraId="78D8FEB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odchov kuřat a kuřice</w:t>
            </w:r>
          </w:p>
          <w:p w14:paraId="37B1A407" w14:textId="77777777" w:rsidR="00E82657" w:rsidRPr="00514C9F" w:rsidRDefault="00E82657" w:rsidP="0049425D">
            <w:pPr>
              <w:pStyle w:val="Textpoznpodarou"/>
              <w:rPr>
                <w:lang w:val="cs-CZ"/>
              </w:rPr>
            </w:pPr>
            <w:r w:rsidRPr="00514C9F">
              <w:rPr>
                <w:lang w:val="cs-CZ"/>
              </w:rPr>
              <w:t>krůty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EE74B0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-</w:t>
            </w:r>
          </w:p>
          <w:p w14:paraId="3AFF5D1A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16 týdnů</w:t>
            </w:r>
          </w:p>
          <w:p w14:paraId="71A38E20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  <w:p w14:paraId="2A90601B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szCs w:val="24"/>
                <w:lang w:val="cs-CZ"/>
              </w:rPr>
            </w:pPr>
            <w:r w:rsidRPr="00514C9F">
              <w:rPr>
                <w:szCs w:val="24"/>
                <w:lang w:val="cs-CZ"/>
              </w:rPr>
              <w:t>16 týdnů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C3B6A9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100</w:t>
            </w:r>
          </w:p>
          <w:p w14:paraId="12435CD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100</w:t>
            </w:r>
          </w:p>
          <w:p w14:paraId="3D4D903A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63A2DF07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53073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125</w:t>
            </w:r>
          </w:p>
          <w:p w14:paraId="5E4832C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120</w:t>
            </w:r>
          </w:p>
          <w:p w14:paraId="12D1C54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148B0B3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3A1A9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ochranná lhůta: nejméně jeden den před porážkou. </w:t>
            </w:r>
          </w:p>
          <w:p w14:paraId="111A017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2DB8304B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V návodu k použití musí být uvedeno: </w:t>
            </w:r>
          </w:p>
          <w:p w14:paraId="0E2167D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32997E98" w14:textId="77777777" w:rsidR="00E82657" w:rsidRPr="00514C9F" w:rsidRDefault="00E82657" w:rsidP="0049425D">
            <w:pPr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„Nebezpečné pro koňovité. Toto krmivo obsahuje ionofor: nepodávat současně s </w:t>
            </w:r>
            <w:proofErr w:type="spellStart"/>
            <w:r w:rsidRPr="00514C9F">
              <w:rPr>
                <w:sz w:val="20"/>
                <w:lang w:val="cs-CZ"/>
              </w:rPr>
              <w:t>tiamulinem</w:t>
            </w:r>
            <w:proofErr w:type="spellEnd"/>
            <w:r w:rsidRPr="00514C9F">
              <w:rPr>
                <w:sz w:val="20"/>
                <w:lang w:val="cs-CZ"/>
              </w:rPr>
              <w:t xml:space="preserve"> a sledovat případné nežádoucí reakce při současném podávání jiných léčebných látek.“</w:t>
            </w:r>
            <w:r w:rsidRPr="00514C9F">
              <w:rPr>
                <w:sz w:val="20"/>
                <w:vertAlign w:val="superscript"/>
                <w:lang w:val="cs-CZ"/>
              </w:rPr>
              <w:t>31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9A5EBE" w14:textId="77777777" w:rsidR="00E82657" w:rsidRPr="00514C9F" w:rsidRDefault="00E82657" w:rsidP="0049425D">
            <w:pPr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lang w:val="cs-CZ"/>
              </w:rPr>
              <w:t>30.7.2014</w:t>
            </w:r>
            <w:r w:rsidRPr="00514C9F">
              <w:rPr>
                <w:sz w:val="20"/>
                <w:vertAlign w:val="superscript"/>
                <w:lang w:val="cs-CZ"/>
              </w:rPr>
              <w:t>21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316A7A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25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μg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Monensinátu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sodného/kg kůží a tuku v syrovém stavu</w:t>
            </w:r>
          </w:p>
          <w:p w14:paraId="58CEA0C9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8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μg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Monensinátu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sodného/kg jater, ledvin a svaloviny v syrovém stavu</w:t>
            </w:r>
          </w:p>
        </w:tc>
      </w:tr>
    </w:tbl>
    <w:p w14:paraId="4B20D4A1" w14:textId="1E08DE05" w:rsidR="003E2098" w:rsidRDefault="003E2098" w:rsidP="000A4F27">
      <w:pPr>
        <w:rPr>
          <w:lang w:val="cs-CZ"/>
        </w:rPr>
      </w:pPr>
    </w:p>
    <w:p w14:paraId="75C0FB24" w14:textId="43D7DC07" w:rsidR="003E2098" w:rsidRDefault="003E2098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0419EF27" w14:textId="501BB793" w:rsidR="00E82657" w:rsidRPr="00514C9F" w:rsidRDefault="00E82657" w:rsidP="00E82657">
      <w:pPr>
        <w:rPr>
          <w:lang w:val="cs-CZ"/>
        </w:rPr>
      </w:pPr>
    </w:p>
    <w:p w14:paraId="4B190F76" w14:textId="6B2A1979" w:rsidR="00E82657" w:rsidRPr="00514C9F" w:rsidRDefault="00E82657" w:rsidP="00E82657">
      <w:pPr>
        <w:rPr>
          <w:lang w:val="cs-CZ"/>
        </w:rPr>
      </w:pPr>
    </w:p>
    <w:tbl>
      <w:tblPr>
        <w:tblW w:w="14920" w:type="dxa"/>
        <w:tblInd w:w="-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1680"/>
        <w:gridCol w:w="2385"/>
        <w:gridCol w:w="1320"/>
        <w:gridCol w:w="900"/>
        <w:gridCol w:w="705"/>
        <w:gridCol w:w="713"/>
        <w:gridCol w:w="2602"/>
        <w:gridCol w:w="1200"/>
        <w:gridCol w:w="1375"/>
      </w:tblGrid>
      <w:tr w:rsidR="00E82657" w:rsidRPr="00514C9F" w14:paraId="389B37B0" w14:textId="77777777" w:rsidTr="0049425D">
        <w:trPr>
          <w:cantSplit/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72F3EB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proofErr w:type="spellStart"/>
            <w:r w:rsidRPr="00514C9F">
              <w:rPr>
                <w:lang w:val="cs-CZ"/>
              </w:rPr>
              <w:t>Reg</w:t>
            </w:r>
            <w:proofErr w:type="spellEnd"/>
            <w:r w:rsidRPr="00514C9F">
              <w:rPr>
                <w:lang w:val="cs-CZ"/>
              </w:rPr>
              <w:t>. č. dop. látky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4042DE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Jméno a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reg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. č. osoby odpovědné za uvedení do oběhu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F60CA5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4F3FF90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442221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Složení,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chem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. vzorec, popis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822B94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2B9CD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</w:t>
            </w:r>
          </w:p>
          <w:p w14:paraId="6F2D6E4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EB6E4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EF2A2B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2D580E4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29B46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období povolení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FACD1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Prozatímní maximální limity reziduí v příslušných potravinách živočišného původu</w:t>
            </w:r>
          </w:p>
        </w:tc>
      </w:tr>
      <w:tr w:rsidR="00E82657" w:rsidRPr="00514C9F" w14:paraId="4C7D0684" w14:textId="77777777" w:rsidTr="0049425D">
        <w:trPr>
          <w:cantSplit/>
          <w:tblHeader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B41B3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985541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F6DB6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4BE65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D0956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00B60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5354E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602" w:type="dxa"/>
            <w:vMerge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ECE42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F99BE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DE26A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74FECE9E" w14:textId="77777777" w:rsidTr="0049425D">
        <w:trPr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6FE4D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6AB2C1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C6CD9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8CACB6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EA710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1AFE28D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7205D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856F05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4FB86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63715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6C7E53B9" w14:textId="77777777" w:rsidTr="0049425D">
        <w:trPr>
          <w:trHeight w:val="548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498B5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E 765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728F73" w14:textId="77777777" w:rsidR="00E82657" w:rsidRPr="003B3DE2" w:rsidRDefault="006D265C" w:rsidP="0049425D">
            <w:pPr>
              <w:rPr>
                <w:sz w:val="20"/>
                <w:vertAlign w:val="superscript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Elanco</w:t>
            </w:r>
            <w:proofErr w:type="spellEnd"/>
            <w:r>
              <w:rPr>
                <w:sz w:val="20"/>
                <w:lang w:val="cs-CZ"/>
              </w:rPr>
              <w:t xml:space="preserve"> GmbH</w:t>
            </w:r>
            <w:r w:rsidR="003B3DE2">
              <w:rPr>
                <w:sz w:val="20"/>
                <w:vertAlign w:val="superscript"/>
                <w:lang w:val="cs-CZ"/>
              </w:rPr>
              <w:t>58)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F5ED5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NARASIN 100 g/kg</w:t>
            </w:r>
          </w:p>
          <w:p w14:paraId="4C9F162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Monteban</w:t>
            </w:r>
            <w:proofErr w:type="spellEnd"/>
            <w:r w:rsidRPr="00514C9F">
              <w:rPr>
                <w:sz w:val="20"/>
                <w:lang w:val="cs-CZ"/>
              </w:rPr>
              <w:t xml:space="preserve">, </w:t>
            </w:r>
            <w:proofErr w:type="spellStart"/>
            <w:r w:rsidRPr="00514C9F">
              <w:rPr>
                <w:sz w:val="20"/>
                <w:lang w:val="cs-CZ"/>
              </w:rPr>
              <w:t>Monteban</w:t>
            </w:r>
            <w:proofErr w:type="spellEnd"/>
            <w:r w:rsidRPr="00514C9F">
              <w:rPr>
                <w:sz w:val="20"/>
                <w:lang w:val="cs-CZ"/>
              </w:rPr>
              <w:t xml:space="preserve"> G 100)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E2166BB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složení doplňkové látky:</w:t>
            </w:r>
          </w:p>
          <w:p w14:paraId="326ECCE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Narasin</w:t>
            </w:r>
            <w:proofErr w:type="spellEnd"/>
            <w:r w:rsidRPr="00514C9F">
              <w:rPr>
                <w:sz w:val="20"/>
                <w:lang w:val="cs-CZ"/>
              </w:rPr>
              <w:t xml:space="preserve">: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14C9F">
                <w:rPr>
                  <w:sz w:val="20"/>
                  <w:lang w:val="cs-CZ"/>
                </w:rPr>
                <w:t>100 g</w:t>
              </w:r>
            </w:smartTag>
            <w:r w:rsidRPr="00514C9F">
              <w:rPr>
                <w:sz w:val="20"/>
                <w:lang w:val="cs-CZ"/>
              </w:rPr>
              <w:t xml:space="preserve"> aktivity/kg</w:t>
            </w:r>
          </w:p>
          <w:p w14:paraId="5FB6AF6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Sojový</w:t>
            </w:r>
            <w:proofErr w:type="spellEnd"/>
            <w:r w:rsidRPr="00514C9F">
              <w:rPr>
                <w:sz w:val="20"/>
                <w:lang w:val="cs-CZ"/>
              </w:rPr>
              <w:t xml:space="preserve"> nebo minerální olej: 10-30 g/kg</w:t>
            </w:r>
          </w:p>
          <w:p w14:paraId="7E72D55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Vermikulit: 0-20 g/kg</w:t>
            </w:r>
          </w:p>
          <w:p w14:paraId="166F077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Sojová</w:t>
            </w:r>
            <w:proofErr w:type="spellEnd"/>
            <w:r w:rsidRPr="00514C9F">
              <w:rPr>
                <w:sz w:val="20"/>
                <w:lang w:val="cs-CZ"/>
              </w:rPr>
              <w:t xml:space="preserve"> moučka nebo rýžové slupky 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4C9F">
                <w:rPr>
                  <w:sz w:val="20"/>
                  <w:lang w:val="cs-CZ"/>
                </w:rPr>
                <w:t>1 kg</w:t>
              </w:r>
            </w:smartTag>
          </w:p>
          <w:p w14:paraId="3C7DC46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účinná látka:</w:t>
            </w:r>
          </w:p>
          <w:p w14:paraId="3FE5A14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Narasin</w:t>
            </w:r>
            <w:proofErr w:type="spellEnd"/>
            <w:r w:rsidRPr="00514C9F">
              <w:rPr>
                <w:sz w:val="20"/>
                <w:lang w:val="cs-CZ"/>
              </w:rPr>
              <w:t>,</w:t>
            </w:r>
          </w:p>
          <w:p w14:paraId="676806AA" w14:textId="77777777" w:rsidR="00E82657" w:rsidRPr="00514C9F" w:rsidRDefault="00E82657" w:rsidP="0049425D">
            <w:pPr>
              <w:rPr>
                <w:sz w:val="20"/>
                <w:vertAlign w:val="subscript"/>
                <w:lang w:val="cs-CZ"/>
              </w:rPr>
            </w:pPr>
            <w:r w:rsidRPr="00514C9F">
              <w:rPr>
                <w:sz w:val="20"/>
                <w:lang w:val="cs-CZ"/>
              </w:rPr>
              <w:t>C</w:t>
            </w:r>
            <w:r w:rsidRPr="00514C9F">
              <w:rPr>
                <w:sz w:val="20"/>
                <w:vertAlign w:val="subscript"/>
                <w:lang w:val="cs-CZ"/>
              </w:rPr>
              <w:t>43</w:t>
            </w:r>
            <w:r w:rsidRPr="00514C9F">
              <w:rPr>
                <w:sz w:val="20"/>
                <w:lang w:val="cs-CZ"/>
              </w:rPr>
              <w:t>H</w:t>
            </w:r>
            <w:r w:rsidRPr="00514C9F">
              <w:rPr>
                <w:sz w:val="20"/>
                <w:vertAlign w:val="subscript"/>
                <w:lang w:val="cs-CZ"/>
              </w:rPr>
              <w:t>72</w:t>
            </w:r>
            <w:r w:rsidRPr="00514C9F">
              <w:rPr>
                <w:sz w:val="20"/>
                <w:lang w:val="cs-CZ"/>
              </w:rPr>
              <w:t>O</w:t>
            </w:r>
            <w:r w:rsidRPr="00514C9F">
              <w:rPr>
                <w:sz w:val="20"/>
                <w:vertAlign w:val="subscript"/>
                <w:lang w:val="cs-CZ"/>
              </w:rPr>
              <w:t>11</w:t>
            </w:r>
          </w:p>
          <w:p w14:paraId="1CD48F9C" w14:textId="77777777" w:rsidR="00E82657" w:rsidRPr="00514C9F" w:rsidRDefault="00E82657" w:rsidP="0049425D">
            <w:pPr>
              <w:pStyle w:val="Textpoznpodarou"/>
              <w:rPr>
                <w:lang w:val="cs-CZ"/>
              </w:rPr>
            </w:pPr>
            <w:r w:rsidRPr="00514C9F">
              <w:rPr>
                <w:lang w:val="cs-CZ"/>
              </w:rPr>
              <w:t>Číslo CAS: 55134-13-9</w:t>
            </w:r>
          </w:p>
          <w:p w14:paraId="21962412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polyeter</w:t>
            </w:r>
            <w:proofErr w:type="spellEnd"/>
            <w:r w:rsidRPr="00514C9F">
              <w:rPr>
                <w:sz w:val="20"/>
                <w:lang w:val="cs-CZ"/>
              </w:rPr>
              <w:t xml:space="preserve"> monokarboxylová kyselina produkovaná </w:t>
            </w:r>
            <w:proofErr w:type="spellStart"/>
            <w:r w:rsidRPr="00514C9F">
              <w:rPr>
                <w:i/>
                <w:sz w:val="20"/>
                <w:lang w:val="cs-CZ"/>
              </w:rPr>
              <w:t>Streptomyces</w:t>
            </w:r>
            <w:proofErr w:type="spellEnd"/>
            <w:r w:rsidRPr="00514C9F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i/>
                <w:sz w:val="20"/>
                <w:lang w:val="cs-CZ"/>
              </w:rPr>
              <w:t>aureofaciens</w:t>
            </w:r>
            <w:proofErr w:type="spellEnd"/>
            <w:r w:rsidRPr="00514C9F">
              <w:rPr>
                <w:i/>
                <w:sz w:val="20"/>
                <w:lang w:val="cs-CZ"/>
              </w:rPr>
              <w:t xml:space="preserve">) </w:t>
            </w:r>
            <w:r w:rsidRPr="00514C9F">
              <w:rPr>
                <w:sz w:val="20"/>
                <w:lang w:val="cs-CZ"/>
              </w:rPr>
              <w:t>(NRRL 8092), v granulované formě</w:t>
            </w:r>
          </w:p>
          <w:p w14:paraId="17F29C8F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aktivita </w:t>
            </w:r>
            <w:proofErr w:type="spellStart"/>
            <w:r w:rsidRPr="00514C9F">
              <w:rPr>
                <w:sz w:val="20"/>
                <w:lang w:val="cs-CZ"/>
              </w:rPr>
              <w:t>Narasinu</w:t>
            </w:r>
            <w:proofErr w:type="spellEnd"/>
            <w:r w:rsidRPr="00514C9F">
              <w:rPr>
                <w:sz w:val="20"/>
                <w:lang w:val="cs-CZ"/>
              </w:rPr>
              <w:t xml:space="preserve"> A</w:t>
            </w:r>
            <w:proofErr w:type="gramStart"/>
            <w:r w:rsidRPr="00514C9F">
              <w:rPr>
                <w:sz w:val="20"/>
                <w:lang w:val="cs-CZ"/>
              </w:rPr>
              <w:t xml:space="preserve">: </w:t>
            </w:r>
            <w:r w:rsidRPr="00514C9F">
              <w:rPr>
                <w:sz w:val="20"/>
                <w:u w:val="single"/>
                <w:lang w:val="cs-CZ"/>
              </w:rPr>
              <w:t>&gt;</w:t>
            </w:r>
            <w:proofErr w:type="gramEnd"/>
            <w:r w:rsidRPr="00514C9F">
              <w:rPr>
                <w:sz w:val="20"/>
                <w:lang w:val="cs-CZ"/>
              </w:rPr>
              <w:t xml:space="preserve"> 90 %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6CE18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výkrm kuřat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913FD9C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lang w:val="cs-CZ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F52B27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E855D12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70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50569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V návodu uvést: „Toto krmivo obsahuje doplňkovou látku skupiny ionoforů; kombinace s některými léčivými látkami (</w:t>
            </w:r>
            <w:proofErr w:type="spellStart"/>
            <w:proofErr w:type="gramStart"/>
            <w:r w:rsidRPr="00514C9F">
              <w:rPr>
                <w:sz w:val="20"/>
                <w:lang w:val="cs-CZ"/>
              </w:rPr>
              <w:t>např.thiamulinem</w:t>
            </w:r>
            <w:proofErr w:type="spellEnd"/>
            <w:proofErr w:type="gramEnd"/>
            <w:r w:rsidRPr="00514C9F">
              <w:rPr>
                <w:sz w:val="20"/>
                <w:lang w:val="cs-CZ"/>
              </w:rPr>
              <w:t>) může být kontraindikována“ a „Nebezpečné pro lichokopytníky, králíky a krůty“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1639D7" w14:textId="77777777" w:rsidR="00E82657" w:rsidRPr="00514C9F" w:rsidRDefault="00E82657" w:rsidP="0049425D">
            <w:pPr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lang w:val="cs-CZ"/>
              </w:rPr>
              <w:t>21.8.2014</w:t>
            </w:r>
            <w:r w:rsidRPr="00514C9F">
              <w:rPr>
                <w:sz w:val="20"/>
                <w:vertAlign w:val="superscript"/>
                <w:lang w:val="cs-CZ"/>
              </w:rPr>
              <w:t>20,</w:t>
            </w:r>
          </w:p>
          <w:p w14:paraId="75B5D16E" w14:textId="77777777" w:rsidR="00E82657" w:rsidRPr="00514C9F" w:rsidRDefault="00E82657" w:rsidP="0049425D">
            <w:pPr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vertAlign w:val="superscript"/>
                <w:lang w:val="cs-CZ"/>
              </w:rPr>
              <w:t>34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30717B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50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μg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Narasinu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/kg tkání vykrmovaných kuřat v syrovém stavu</w:t>
            </w:r>
          </w:p>
        </w:tc>
      </w:tr>
    </w:tbl>
    <w:p w14:paraId="455ECA75" w14:textId="77777777" w:rsidR="00E82657" w:rsidRPr="00514C9F" w:rsidRDefault="00E82657" w:rsidP="00E82657">
      <w:pPr>
        <w:rPr>
          <w:lang w:val="cs-CZ"/>
        </w:rPr>
      </w:pPr>
    </w:p>
    <w:p w14:paraId="6089B3DB" w14:textId="77777777" w:rsidR="00E82657" w:rsidRPr="00514C9F" w:rsidRDefault="00E82657" w:rsidP="00E82657">
      <w:pPr>
        <w:rPr>
          <w:lang w:val="cs-CZ"/>
        </w:rPr>
      </w:pPr>
      <w:r w:rsidRPr="00514C9F">
        <w:rPr>
          <w:lang w:val="cs-CZ"/>
        </w:rPr>
        <w:br w:type="page"/>
      </w:r>
    </w:p>
    <w:p w14:paraId="6C46E2AD" w14:textId="34D6E969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36672A57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15FEAB5E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tbl>
      <w:tblPr>
        <w:tblW w:w="14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402"/>
        <w:gridCol w:w="992"/>
        <w:gridCol w:w="709"/>
        <w:gridCol w:w="992"/>
        <w:gridCol w:w="1134"/>
        <w:gridCol w:w="2268"/>
        <w:gridCol w:w="1342"/>
      </w:tblGrid>
      <w:tr w:rsidR="00207FEB" w:rsidRPr="00233746" w14:paraId="7E6DCD44" w14:textId="77777777" w:rsidTr="00207FEB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F4BECA" w14:textId="65F2B2DF" w:rsidR="00207FEB" w:rsidRPr="00233746" w:rsidRDefault="00E82657" w:rsidP="006D265C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br w:type="page"/>
            </w:r>
            <w:r w:rsidR="00207FEB" w:rsidRPr="00233746">
              <w:rPr>
                <w:lang w:val="cs-CZ"/>
              </w:rPr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4829CB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D78257E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Doplňková látka</w:t>
            </w:r>
          </w:p>
          <w:p w14:paraId="754316F5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D49A15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C27F2D1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9B17F1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6FF22E1F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8E05698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166DE76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711528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457387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207FEB" w:rsidRPr="00233746" w14:paraId="20405D0A" w14:textId="77777777" w:rsidTr="00207FEB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8B7FE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6762B7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42DF58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7F1D25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8DD6C1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747A6F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89E9BD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1D8C356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CAA59D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207FEB" w:rsidRPr="00233746" w14:paraId="329F4DA1" w14:textId="77777777" w:rsidTr="00207FEB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3E1CC7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E2D775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708331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D65A08D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CD3271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114DE23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9AAA52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085022D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B151E3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9</w:t>
            </w:r>
          </w:p>
        </w:tc>
      </w:tr>
      <w:tr w:rsidR="00207FEB" w:rsidRPr="00233746" w14:paraId="4E2F1031" w14:textId="77777777" w:rsidTr="00207FEB">
        <w:trPr>
          <w:trHeight w:val="10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71DD00" w14:textId="77777777" w:rsidR="00207FEB" w:rsidRPr="00233746" w:rsidRDefault="00207FEB" w:rsidP="006D265C">
            <w:pPr>
              <w:rPr>
                <w:sz w:val="20"/>
                <w:lang w:val="cs-CZ"/>
              </w:rPr>
            </w:pPr>
            <w:r w:rsidRPr="00233746">
              <w:rPr>
                <w:sz w:val="20"/>
                <w:lang w:val="cs-CZ"/>
              </w:rPr>
              <w:t>E 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3815BA" w14:textId="77777777" w:rsidR="00207FEB" w:rsidRPr="00233746" w:rsidRDefault="00207FEB" w:rsidP="006D265C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proofErr w:type="spellStart"/>
            <w:r w:rsidRPr="00233746">
              <w:rPr>
                <w:sz w:val="20"/>
                <w:lang w:val="cs-CZ"/>
              </w:rPr>
              <w:t>Phibro</w:t>
            </w:r>
            <w:proofErr w:type="spellEnd"/>
            <w:r w:rsidRPr="00233746">
              <w:rPr>
                <w:sz w:val="20"/>
                <w:lang w:val="cs-CZ"/>
              </w:rPr>
              <w:t xml:space="preserve"> Animal</w:t>
            </w:r>
          </w:p>
          <w:p w14:paraId="65A65A68" w14:textId="77777777" w:rsidR="00207FEB" w:rsidRPr="00233746" w:rsidRDefault="00207FEB" w:rsidP="006D265C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Health</w:t>
            </w:r>
            <w:proofErr w:type="spellEnd"/>
            <w:r>
              <w:rPr>
                <w:sz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lang w:val="cs-CZ"/>
              </w:rPr>
              <w:t>s.a</w:t>
            </w:r>
            <w:proofErr w:type="spellEnd"/>
            <w:r w:rsidRPr="00233746">
              <w:rPr>
                <w:sz w:val="20"/>
                <w:lang w:val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E73FD1" w14:textId="77777777" w:rsidR="00207FEB" w:rsidRPr="00233746" w:rsidRDefault="00207FEB" w:rsidP="006D265C">
            <w:pPr>
              <w:pStyle w:val="Zkladntext"/>
              <w:spacing w:before="0"/>
              <w:rPr>
                <w:caps/>
                <w:sz w:val="20"/>
                <w:lang w:val="cs-CZ"/>
              </w:rPr>
            </w:pPr>
            <w:r w:rsidRPr="00233746">
              <w:rPr>
                <w:caps/>
                <w:sz w:val="20"/>
                <w:lang w:val="cs-CZ"/>
              </w:rPr>
              <w:t>semduramicinát sodný</w:t>
            </w:r>
          </w:p>
          <w:p w14:paraId="77880E50" w14:textId="77777777" w:rsidR="00207FEB" w:rsidRPr="00233746" w:rsidRDefault="00207FEB" w:rsidP="006D265C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233746">
              <w:rPr>
                <w:sz w:val="20"/>
                <w:lang w:val="cs-CZ"/>
              </w:rPr>
              <w:t>(</w:t>
            </w:r>
            <w:proofErr w:type="spellStart"/>
            <w:r w:rsidRPr="00233746">
              <w:rPr>
                <w:sz w:val="20"/>
                <w:lang w:val="cs-CZ"/>
              </w:rPr>
              <w:t>Aviax</w:t>
            </w:r>
            <w:proofErr w:type="spellEnd"/>
            <w:r w:rsidRPr="00233746">
              <w:rPr>
                <w:sz w:val="20"/>
                <w:lang w:val="cs-CZ"/>
              </w:rPr>
              <w:t xml:space="preserve"> 5 %)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9A07A7" w14:textId="77777777" w:rsidR="00207FEB" w:rsidRPr="00233746" w:rsidRDefault="00207FEB" w:rsidP="006D265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r w:rsidRPr="00233746">
              <w:rPr>
                <w:i/>
                <w:iCs/>
                <w:sz w:val="20"/>
                <w:szCs w:val="17"/>
                <w:lang w:val="cs-CZ"/>
              </w:rPr>
              <w:t>Složení doplňkové látky:</w:t>
            </w:r>
          </w:p>
          <w:p w14:paraId="65245D6B" w14:textId="77777777" w:rsidR="00207FEB" w:rsidRDefault="00207FEB" w:rsidP="006D265C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Semduramicinát</w:t>
            </w:r>
            <w:proofErr w:type="spellEnd"/>
            <w:r>
              <w:rPr>
                <w:sz w:val="20"/>
                <w:lang w:val="cs-CZ"/>
              </w:rPr>
              <w:t xml:space="preserve"> sodný: 51,3 g/kg</w:t>
            </w:r>
          </w:p>
          <w:p w14:paraId="3F20C436" w14:textId="77777777" w:rsidR="00207FEB" w:rsidRDefault="00207FEB" w:rsidP="006D265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Uhličitan sodný: 40 g/kg</w:t>
            </w:r>
          </w:p>
          <w:p w14:paraId="67142C7F" w14:textId="77777777" w:rsidR="00207FEB" w:rsidRDefault="00207FEB" w:rsidP="006D265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Minerální olej: 30-50 g/kg</w:t>
            </w:r>
          </w:p>
          <w:p w14:paraId="0BFBFF06" w14:textId="77777777" w:rsidR="00207FEB" w:rsidRDefault="00207FEB" w:rsidP="006D265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Hlinitokřemičitan sodný: 20 g/kg</w:t>
            </w:r>
          </w:p>
          <w:p w14:paraId="5D733875" w14:textId="77777777" w:rsidR="00207FEB" w:rsidRDefault="00207FEB" w:rsidP="006D265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Sójový separát: 838,7-858,7 g/kg</w:t>
            </w:r>
          </w:p>
          <w:p w14:paraId="2849D1F2" w14:textId="77777777" w:rsidR="00207FEB" w:rsidRPr="00233746" w:rsidRDefault="00207FEB" w:rsidP="006D265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r w:rsidRPr="00233746">
              <w:rPr>
                <w:i/>
                <w:iCs/>
                <w:sz w:val="20"/>
                <w:szCs w:val="17"/>
                <w:lang w:val="cs-CZ"/>
              </w:rPr>
              <w:t>Účinná látka:</w:t>
            </w:r>
          </w:p>
          <w:p w14:paraId="33080AE7" w14:textId="77777777" w:rsidR="00207FEB" w:rsidRDefault="00207FEB" w:rsidP="006D265C">
            <w:pPr>
              <w:rPr>
                <w:sz w:val="20"/>
                <w:vertAlign w:val="subscript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Semduramicin</w:t>
            </w:r>
            <w:proofErr w:type="spellEnd"/>
            <w:r>
              <w:rPr>
                <w:sz w:val="20"/>
                <w:lang w:val="cs-CZ"/>
              </w:rPr>
              <w:t xml:space="preserve"> C</w:t>
            </w:r>
            <w:r>
              <w:rPr>
                <w:sz w:val="20"/>
                <w:vertAlign w:val="subscript"/>
                <w:lang w:val="cs-CZ"/>
              </w:rPr>
              <w:t>45</w:t>
            </w:r>
            <w:r>
              <w:rPr>
                <w:sz w:val="20"/>
                <w:lang w:val="cs-CZ"/>
              </w:rPr>
              <w:t>H</w:t>
            </w:r>
            <w:r>
              <w:rPr>
                <w:sz w:val="20"/>
                <w:vertAlign w:val="subscript"/>
                <w:lang w:val="cs-CZ"/>
              </w:rPr>
              <w:t>76</w:t>
            </w:r>
            <w:r>
              <w:rPr>
                <w:sz w:val="20"/>
                <w:lang w:val="cs-CZ"/>
              </w:rPr>
              <w:t>O</w:t>
            </w:r>
            <w:r>
              <w:rPr>
                <w:sz w:val="20"/>
                <w:vertAlign w:val="subscript"/>
                <w:lang w:val="cs-CZ"/>
              </w:rPr>
              <w:t>16</w:t>
            </w:r>
          </w:p>
          <w:p w14:paraId="56971F87" w14:textId="77777777" w:rsidR="00207FEB" w:rsidRDefault="00207FEB" w:rsidP="006D265C">
            <w:pPr>
              <w:rPr>
                <w:sz w:val="20"/>
                <w:lang w:val="cs-CZ"/>
              </w:rPr>
            </w:pPr>
            <w:r w:rsidRPr="00A137DF">
              <w:rPr>
                <w:sz w:val="20"/>
                <w:lang w:val="cs-CZ"/>
              </w:rPr>
              <w:t>Číslo CAS: 113378</w:t>
            </w:r>
            <w:r>
              <w:rPr>
                <w:sz w:val="20"/>
                <w:lang w:val="cs-CZ"/>
              </w:rPr>
              <w:t>-31-7</w:t>
            </w:r>
          </w:p>
          <w:p w14:paraId="7EA14F30" w14:textId="77777777" w:rsidR="00207FEB" w:rsidRDefault="00207FEB" w:rsidP="006D265C">
            <w:pPr>
              <w:rPr>
                <w:sz w:val="20"/>
                <w:lang w:val="cs-CZ"/>
              </w:rPr>
            </w:pPr>
          </w:p>
          <w:p w14:paraId="0D67D9C7" w14:textId="77777777" w:rsidR="00207FEB" w:rsidRDefault="00207FEB" w:rsidP="006D265C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Semduramicinát</w:t>
            </w:r>
            <w:proofErr w:type="spellEnd"/>
            <w:r>
              <w:rPr>
                <w:sz w:val="20"/>
                <w:lang w:val="cs-CZ"/>
              </w:rPr>
              <w:t xml:space="preserve"> sodný C</w:t>
            </w:r>
            <w:r>
              <w:rPr>
                <w:sz w:val="20"/>
                <w:vertAlign w:val="subscript"/>
                <w:lang w:val="cs-CZ"/>
              </w:rPr>
              <w:t>45</w:t>
            </w:r>
            <w:r>
              <w:rPr>
                <w:sz w:val="20"/>
                <w:lang w:val="cs-CZ"/>
              </w:rPr>
              <w:t>H</w:t>
            </w:r>
            <w:r>
              <w:rPr>
                <w:sz w:val="20"/>
                <w:vertAlign w:val="subscript"/>
                <w:lang w:val="cs-CZ"/>
              </w:rPr>
              <w:t>76</w:t>
            </w:r>
            <w:r>
              <w:rPr>
                <w:sz w:val="20"/>
                <w:lang w:val="cs-CZ"/>
              </w:rPr>
              <w:t>O</w:t>
            </w:r>
            <w:r>
              <w:rPr>
                <w:sz w:val="20"/>
                <w:vertAlign w:val="subscript"/>
                <w:lang w:val="cs-CZ"/>
              </w:rPr>
              <w:t>16</w:t>
            </w:r>
            <w:r>
              <w:rPr>
                <w:sz w:val="20"/>
                <w:lang w:val="cs-CZ"/>
              </w:rPr>
              <w:t>Na</w:t>
            </w:r>
          </w:p>
          <w:p w14:paraId="641A6C26" w14:textId="77777777" w:rsidR="00207FEB" w:rsidRDefault="00207FEB" w:rsidP="006D265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Číslo CAS: 119068-77-8</w:t>
            </w:r>
          </w:p>
          <w:p w14:paraId="64B3EB3C" w14:textId="77777777" w:rsidR="00207FEB" w:rsidRDefault="00207FEB" w:rsidP="006D265C">
            <w:pPr>
              <w:rPr>
                <w:sz w:val="20"/>
                <w:lang w:val="cs-CZ"/>
              </w:rPr>
            </w:pPr>
          </w:p>
          <w:p w14:paraId="6554392E" w14:textId="77777777" w:rsidR="00207FEB" w:rsidRDefault="00207FEB" w:rsidP="006D265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Sodná sůl </w:t>
            </w:r>
            <w:proofErr w:type="spellStart"/>
            <w:r>
              <w:rPr>
                <w:sz w:val="20"/>
                <w:lang w:val="cs-CZ"/>
              </w:rPr>
              <w:t>ionophorní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polyetherické</w:t>
            </w:r>
            <w:proofErr w:type="spellEnd"/>
            <w:r>
              <w:rPr>
                <w:sz w:val="20"/>
                <w:lang w:val="cs-CZ"/>
              </w:rPr>
              <w:t xml:space="preserve"> monokarboxylové kyseliny, produkované </w:t>
            </w:r>
            <w:proofErr w:type="spellStart"/>
            <w:r>
              <w:rPr>
                <w:i/>
                <w:sz w:val="20"/>
                <w:lang w:val="cs-CZ"/>
              </w:rPr>
              <w:t>Actinomadura</w:t>
            </w:r>
            <w:proofErr w:type="spellEnd"/>
            <w:r>
              <w:rPr>
                <w:i/>
                <w:sz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lang w:val="cs-CZ"/>
              </w:rPr>
              <w:t>roseorufa</w:t>
            </w:r>
            <w:proofErr w:type="spellEnd"/>
            <w:r>
              <w:rPr>
                <w:i/>
                <w:sz w:val="20"/>
                <w:lang w:val="cs-CZ"/>
              </w:rPr>
              <w:t xml:space="preserve"> </w:t>
            </w:r>
            <w:r>
              <w:rPr>
                <w:sz w:val="20"/>
                <w:lang w:val="cs-CZ"/>
              </w:rPr>
              <w:t>(ATCC 53664)</w:t>
            </w:r>
          </w:p>
          <w:p w14:paraId="6B22987D" w14:textId="77777777" w:rsidR="00207FEB" w:rsidRDefault="00207FEB" w:rsidP="006D265C">
            <w:pPr>
              <w:rPr>
                <w:sz w:val="20"/>
                <w:lang w:val="cs-CZ"/>
              </w:rPr>
            </w:pPr>
          </w:p>
          <w:p w14:paraId="2940DA23" w14:textId="77777777" w:rsidR="00207FEB" w:rsidRDefault="00207FEB" w:rsidP="006D265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Přidružené nečistoty:</w:t>
            </w:r>
          </w:p>
          <w:p w14:paraId="37FD4BC1" w14:textId="77777777" w:rsidR="00207FEB" w:rsidRDefault="00207FEB" w:rsidP="006D265C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Dekarboxylsemduramicinát</w:t>
            </w:r>
            <w:proofErr w:type="spellEnd"/>
            <w:r>
              <w:rPr>
                <w:sz w:val="20"/>
                <w:lang w:val="cs-CZ"/>
              </w:rPr>
              <w:t>, ≤ 2 %</w:t>
            </w:r>
          </w:p>
          <w:p w14:paraId="0B4FF931" w14:textId="77777777" w:rsidR="00207FEB" w:rsidRDefault="00207FEB" w:rsidP="006D265C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Demethoxylsemduramicinát</w:t>
            </w:r>
            <w:proofErr w:type="spellEnd"/>
            <w:r>
              <w:rPr>
                <w:sz w:val="20"/>
                <w:lang w:val="cs-CZ"/>
              </w:rPr>
              <w:t>, ≤ 2 %</w:t>
            </w:r>
          </w:p>
          <w:p w14:paraId="16178A9F" w14:textId="77777777" w:rsidR="00207FEB" w:rsidRDefault="00207FEB" w:rsidP="006D265C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Hydroxysemduramicinát</w:t>
            </w:r>
            <w:proofErr w:type="spellEnd"/>
            <w:r>
              <w:rPr>
                <w:sz w:val="20"/>
                <w:lang w:val="cs-CZ"/>
              </w:rPr>
              <w:t>, ≤ 2 %</w:t>
            </w:r>
          </w:p>
          <w:p w14:paraId="202DA39F" w14:textId="77777777" w:rsidR="00207FEB" w:rsidRPr="00A137DF" w:rsidRDefault="00207FEB" w:rsidP="006D265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Celkem: ≤ 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EAC489" w14:textId="77777777" w:rsidR="00207FEB" w:rsidRPr="0025283F" w:rsidRDefault="00207FEB" w:rsidP="006D265C">
            <w:pPr>
              <w:pStyle w:val="Textpoznpodarou"/>
              <w:rPr>
                <w:vertAlign w:val="superscript"/>
                <w:lang w:val="cs-CZ"/>
              </w:rPr>
            </w:pPr>
            <w:r w:rsidRPr="00233746">
              <w:rPr>
                <w:lang w:val="cs-CZ"/>
              </w:rPr>
              <w:t>výkrm kuřat</w:t>
            </w:r>
            <w:r>
              <w:rPr>
                <w:vertAlign w:val="superscript"/>
                <w:lang w:val="cs-CZ"/>
              </w:rPr>
              <w:t>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8270F7" w14:textId="77777777" w:rsidR="00207FEB" w:rsidRPr="00233746" w:rsidRDefault="00207FEB" w:rsidP="006D265C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34B297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B3EBE6" w14:textId="77777777" w:rsidR="00207FEB" w:rsidRPr="00233746" w:rsidRDefault="00207FEB" w:rsidP="006D26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6DB45D" w14:textId="77777777" w:rsidR="00207FEB" w:rsidRDefault="00207FEB" w:rsidP="006D265C">
            <w:pPr>
              <w:pStyle w:val="Textpoznpodarou"/>
              <w:rPr>
                <w:lang w:val="cs-CZ"/>
              </w:rPr>
            </w:pPr>
            <w:r>
              <w:rPr>
                <w:lang w:val="cs-CZ"/>
              </w:rPr>
              <w:t>Ochranná lhůta nejméně 5 dní.</w:t>
            </w:r>
          </w:p>
          <w:p w14:paraId="51AD3D82" w14:textId="77777777" w:rsidR="00207FEB" w:rsidRPr="00233746" w:rsidRDefault="00207FEB" w:rsidP="006D265C">
            <w:pPr>
              <w:pStyle w:val="Textpoznpodarou"/>
              <w:rPr>
                <w:lang w:val="cs-CZ"/>
              </w:rPr>
            </w:pPr>
            <w:r>
              <w:rPr>
                <w:lang w:val="cs-CZ"/>
              </w:rPr>
              <w:t xml:space="preserve">Současné podávání </w:t>
            </w:r>
            <w:proofErr w:type="spellStart"/>
            <w:r>
              <w:rPr>
                <w:lang w:val="cs-CZ"/>
              </w:rPr>
              <w:t>semduramicinu</w:t>
            </w:r>
            <w:proofErr w:type="spellEnd"/>
            <w:r>
              <w:rPr>
                <w:lang w:val="cs-CZ"/>
              </w:rPr>
              <w:t xml:space="preserve"> a </w:t>
            </w:r>
            <w:proofErr w:type="spellStart"/>
            <w:r>
              <w:rPr>
                <w:lang w:val="cs-CZ"/>
              </w:rPr>
              <w:t>thiamulinu</w:t>
            </w:r>
            <w:proofErr w:type="spellEnd"/>
            <w:r>
              <w:rPr>
                <w:lang w:val="cs-CZ"/>
              </w:rPr>
              <w:t xml:space="preserve"> může vyvolat dočasné snížení spotřeby krmiva a příjmu vody.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1D8974" w14:textId="77777777" w:rsidR="00207FEB" w:rsidRPr="00233746" w:rsidRDefault="00207FEB" w:rsidP="006D265C">
            <w:pPr>
              <w:rPr>
                <w:sz w:val="20"/>
                <w:szCs w:val="18"/>
                <w:lang w:val="cs-CZ"/>
              </w:rPr>
            </w:pPr>
            <w:r>
              <w:rPr>
                <w:sz w:val="20"/>
                <w:szCs w:val="18"/>
                <w:lang w:val="cs-CZ"/>
              </w:rPr>
              <w:t>10 let ode dne vstupu tohoto nařízení v platnost</w:t>
            </w:r>
          </w:p>
        </w:tc>
      </w:tr>
    </w:tbl>
    <w:p w14:paraId="7E8CF4C0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00965880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  <w:r w:rsidRPr="00514C9F">
        <w:rPr>
          <w:color w:val="000000"/>
          <w:szCs w:val="20"/>
          <w:lang w:val="cs-CZ"/>
        </w:rPr>
        <w:br w:type="page"/>
      </w:r>
    </w:p>
    <w:tbl>
      <w:tblPr>
        <w:tblW w:w="1399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30"/>
        <w:gridCol w:w="2050"/>
        <w:gridCol w:w="2342"/>
        <w:gridCol w:w="1498"/>
        <w:gridCol w:w="956"/>
        <w:gridCol w:w="724"/>
        <w:gridCol w:w="720"/>
        <w:gridCol w:w="1920"/>
        <w:gridCol w:w="1200"/>
      </w:tblGrid>
      <w:tr w:rsidR="00E82657" w:rsidRPr="00514C9F" w14:paraId="1DBA0246" w14:textId="77777777" w:rsidTr="0049425D">
        <w:trPr>
          <w:cantSplit/>
          <w:tblHeader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2CDC599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lastRenderedPageBreak/>
              <w:t>Reg</w:t>
            </w:r>
            <w:proofErr w:type="spellEnd"/>
            <w:r w:rsidRPr="00514C9F">
              <w:rPr>
                <w:sz w:val="20"/>
                <w:lang w:val="cs-CZ"/>
              </w:rPr>
              <w:t>. č. doplňkové látky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2240AB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Jméno a </w:t>
            </w:r>
            <w:proofErr w:type="spellStart"/>
            <w:r w:rsidRPr="00514C9F">
              <w:rPr>
                <w:sz w:val="20"/>
                <w:lang w:val="cs-CZ"/>
              </w:rPr>
              <w:t>reg</w:t>
            </w:r>
            <w:proofErr w:type="spellEnd"/>
            <w:r w:rsidRPr="00514C9F">
              <w:rPr>
                <w:sz w:val="20"/>
                <w:lang w:val="cs-CZ"/>
              </w:rPr>
              <w:t>. č. osoby odpovědné za uvedení do oběhu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C17CD67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Doplňková látka</w:t>
            </w:r>
          </w:p>
          <w:p w14:paraId="382FD284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(obchodní název)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DABF396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Složení, </w:t>
            </w:r>
            <w:proofErr w:type="spellStart"/>
            <w:proofErr w:type="gramStart"/>
            <w:r w:rsidRPr="00514C9F">
              <w:rPr>
                <w:sz w:val="20"/>
                <w:lang w:val="cs-CZ"/>
              </w:rPr>
              <w:t>chem.vzorec</w:t>
            </w:r>
            <w:proofErr w:type="spellEnd"/>
            <w:proofErr w:type="gramEnd"/>
            <w:r w:rsidRPr="00514C9F">
              <w:rPr>
                <w:sz w:val="20"/>
                <w:lang w:val="cs-CZ"/>
              </w:rPr>
              <w:t>, popis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8AC8EF7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Druh nebo kategorie zvířat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F592E4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Maxim.</w:t>
            </w:r>
          </w:p>
          <w:p w14:paraId="6E1103A6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stáří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C5FACE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Min. obsah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338248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Max. obsah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0619EF02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Jiná ustanovení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F2D3F4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Konec období povolení</w:t>
            </w:r>
          </w:p>
        </w:tc>
      </w:tr>
      <w:tr w:rsidR="00E82657" w:rsidRPr="00514C9F" w14:paraId="6B7D7A68" w14:textId="77777777" w:rsidTr="0049425D">
        <w:trPr>
          <w:cantSplit/>
          <w:tblHeader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F5E79D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C31DA6" w14:textId="77777777" w:rsidR="00E82657" w:rsidRPr="00514C9F" w:rsidRDefault="00E82657" w:rsidP="0049425D">
            <w:pPr>
              <w:jc w:val="center"/>
              <w:rPr>
                <w:sz w:val="20"/>
                <w:vertAlign w:val="superscript"/>
                <w:lang w:val="cs-CZ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5511D7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3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9A4935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F769DE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9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A54DFA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AD51FB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mg účinné látky/kg kompletního krmiva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2EBBB6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E4116D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</w:tr>
      <w:tr w:rsidR="00E82657" w:rsidRPr="00514C9F" w14:paraId="3D4D1D49" w14:textId="77777777" w:rsidTr="0049425D">
        <w:trPr>
          <w:tblHeader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CDD2B4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E192506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AE24A7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4C113D3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227AD7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BCF673D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B886E6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81BE338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E8C7FD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9</w:t>
            </w:r>
          </w:p>
        </w:tc>
      </w:tr>
      <w:tr w:rsidR="00E82657" w:rsidRPr="00514C9F" w14:paraId="2DD5206A" w14:textId="77777777" w:rsidTr="0049425D">
        <w:tc>
          <w:tcPr>
            <w:tcW w:w="1399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695455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lang w:val="cs-CZ"/>
              </w:rPr>
            </w:pPr>
            <w:proofErr w:type="spellStart"/>
            <w:r w:rsidRPr="00514C9F">
              <w:rPr>
                <w:b/>
                <w:sz w:val="20"/>
                <w:lang w:val="cs-CZ"/>
              </w:rPr>
              <w:t>Antikokcidika</w:t>
            </w:r>
            <w:proofErr w:type="spellEnd"/>
            <w:r w:rsidRPr="00514C9F">
              <w:rPr>
                <w:b/>
                <w:sz w:val="20"/>
                <w:lang w:val="cs-CZ"/>
              </w:rPr>
              <w:t xml:space="preserve"> a chemoterapeutika</w:t>
            </w:r>
          </w:p>
        </w:tc>
      </w:tr>
      <w:tr w:rsidR="00E82657" w:rsidRPr="00514C9F" w14:paraId="59C31FCE" w14:textId="77777777" w:rsidTr="0049425D">
        <w:trPr>
          <w:trHeight w:val="161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494CA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E 764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B0FCF0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886509A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HALOFUGINON HYDROBROMID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CF16F6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DL-trans-7-bromo-6-chloro-3-(3-(3-hydroxy-2-piperidyl) </w:t>
            </w:r>
            <w:proofErr w:type="spellStart"/>
            <w:r w:rsidRPr="00514C9F">
              <w:rPr>
                <w:sz w:val="20"/>
                <w:lang w:val="cs-CZ"/>
              </w:rPr>
              <w:t>acetonyl</w:t>
            </w:r>
            <w:proofErr w:type="spellEnd"/>
            <w:r w:rsidRPr="00514C9F">
              <w:rPr>
                <w:sz w:val="20"/>
                <w:lang w:val="cs-CZ"/>
              </w:rPr>
              <w:t>) quinazolin-4-(3</w:t>
            </w:r>
            <w:proofErr w:type="gramStart"/>
            <w:r w:rsidRPr="00514C9F">
              <w:rPr>
                <w:sz w:val="20"/>
                <w:lang w:val="cs-CZ"/>
              </w:rPr>
              <w:t>H)-</w:t>
            </w:r>
            <w:proofErr w:type="gramEnd"/>
            <w:r w:rsidRPr="00514C9F">
              <w:rPr>
                <w:sz w:val="20"/>
                <w:lang w:val="cs-CZ"/>
              </w:rPr>
              <w:t xml:space="preserve">jedna </w:t>
            </w:r>
            <w:proofErr w:type="spellStart"/>
            <w:r w:rsidRPr="00514C9F">
              <w:rPr>
                <w:sz w:val="20"/>
                <w:lang w:val="cs-CZ"/>
              </w:rPr>
              <w:t>hydrobromid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B0AE3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výkrm kuřat</w:t>
            </w:r>
          </w:p>
          <w:p w14:paraId="57192FF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krůty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517CA7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-</w:t>
            </w:r>
          </w:p>
          <w:p w14:paraId="5D280AC7" w14:textId="77777777" w:rsidR="00E82657" w:rsidRPr="00514C9F" w:rsidRDefault="00E82657" w:rsidP="0049425D">
            <w:pPr>
              <w:pStyle w:val="Textpoznpodarou"/>
              <w:rPr>
                <w:lang w:val="cs-CZ"/>
              </w:rPr>
            </w:pPr>
            <w:r w:rsidRPr="00514C9F">
              <w:rPr>
                <w:lang w:val="cs-CZ"/>
              </w:rPr>
              <w:t>12 týdnů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3254B9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2</w:t>
            </w:r>
          </w:p>
          <w:p w14:paraId="79E934A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9565F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3</w:t>
            </w:r>
          </w:p>
          <w:p w14:paraId="3874E42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62AEC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ochranná lhůta: nejméně 5 dnů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D8C325" w14:textId="77777777" w:rsidR="00E82657" w:rsidRPr="00514C9F" w:rsidRDefault="00E82657" w:rsidP="0049425D">
            <w:pPr>
              <w:jc w:val="center"/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lang w:val="cs-CZ"/>
              </w:rPr>
              <w:t>bez časového omezení</w:t>
            </w:r>
            <w:r w:rsidRPr="00514C9F">
              <w:rPr>
                <w:sz w:val="20"/>
                <w:vertAlign w:val="superscript"/>
                <w:lang w:val="cs-CZ"/>
              </w:rPr>
              <w:t>1</w:t>
            </w:r>
          </w:p>
        </w:tc>
      </w:tr>
    </w:tbl>
    <w:p w14:paraId="2DA818F9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24D2DAF4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48269BF4" w14:textId="3438EC9E" w:rsidR="00CD6C0E" w:rsidRDefault="00CD6C0E">
      <w:pPr>
        <w:spacing w:after="160" w:line="259" w:lineRule="auto"/>
        <w:rPr>
          <w:color w:val="000000"/>
          <w:sz w:val="20"/>
          <w:szCs w:val="20"/>
          <w:lang w:val="cs-CZ"/>
        </w:rPr>
      </w:pPr>
      <w:r>
        <w:rPr>
          <w:color w:val="000000"/>
          <w:szCs w:val="20"/>
          <w:lang w:val="cs-CZ"/>
        </w:rPr>
        <w:br w:type="page"/>
      </w:r>
    </w:p>
    <w:tbl>
      <w:tblPr>
        <w:tblpPr w:leftFromText="141" w:rightFromText="141" w:horzAnchor="margin" w:tblpXSpec="center" w:tblpY="240"/>
        <w:tblW w:w="1573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276"/>
        <w:gridCol w:w="2976"/>
        <w:gridCol w:w="993"/>
        <w:gridCol w:w="708"/>
        <w:gridCol w:w="993"/>
        <w:gridCol w:w="1134"/>
        <w:gridCol w:w="2693"/>
        <w:gridCol w:w="1209"/>
        <w:gridCol w:w="1768"/>
      </w:tblGrid>
      <w:tr w:rsidR="00CD6C0E" w:rsidRPr="00C2219F" w14:paraId="36F0A763" w14:textId="77777777" w:rsidTr="008A1678">
        <w:trPr>
          <w:cantSplit/>
          <w:trHeight w:val="63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AD163A" w14:textId="273AC0C2" w:rsidR="00CD6C0E" w:rsidRPr="00C2219F" w:rsidRDefault="00CD6C0E" w:rsidP="00CD6C0E">
            <w:pPr>
              <w:pStyle w:val="Tabulka"/>
              <w:keepNext w:val="0"/>
              <w:keepLines w:val="0"/>
            </w:pPr>
            <w:r w:rsidRPr="00C2219F">
              <w:rPr>
                <w:color w:val="000000"/>
              </w:rPr>
              <w:lastRenderedPageBreak/>
              <w:br w:type="page"/>
            </w:r>
            <w:r>
              <w:t>IČ</w:t>
            </w:r>
            <w:r w:rsidRPr="00C2219F">
              <w:t xml:space="preserve"> </w:t>
            </w:r>
            <w:proofErr w:type="spellStart"/>
            <w:r w:rsidRPr="00C2219F">
              <w:t>doplňkové</w:t>
            </w:r>
            <w:proofErr w:type="spellEnd"/>
            <w:r w:rsidRPr="00C2219F">
              <w:t xml:space="preserve"> </w:t>
            </w:r>
            <w:proofErr w:type="spellStart"/>
            <w:r w:rsidRPr="00C2219F">
              <w:t>látky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3A7D12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9DCF8C0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0D3FB618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39701D" w14:textId="2BDD8D7C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</w:t>
            </w:r>
            <w:r w:rsidRPr="00C2219F">
              <w:rPr>
                <w:sz w:val="20"/>
                <w:szCs w:val="20"/>
                <w:lang w:val="cs-CZ"/>
              </w:rPr>
              <w:t>hemický vzorec, popis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68EE79F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588580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C221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76061E98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D095AB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40AA30D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1E1313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CE8237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6484D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CD6C0E" w:rsidRPr="00C2219F" w14:paraId="57035D2B" w14:textId="77777777" w:rsidTr="008A1678">
        <w:trPr>
          <w:cantSplit/>
          <w:trHeight w:val="20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524CA4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531AF3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3DC149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2CBB4D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B1A5223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CDE866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59692C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22487D7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7C0831" w14:textId="77777777" w:rsidR="00CD6C0E" w:rsidRPr="00C2219F" w:rsidRDefault="00CD6C0E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569" w14:textId="77777777" w:rsidR="00CD6C0E" w:rsidRPr="00C2219F" w:rsidRDefault="00CD6C0E" w:rsidP="00CD6C0E">
            <w:pPr>
              <w:rPr>
                <w:sz w:val="20"/>
                <w:szCs w:val="20"/>
                <w:lang w:val="cs-CZ"/>
              </w:rPr>
            </w:pPr>
          </w:p>
        </w:tc>
      </w:tr>
      <w:tr w:rsidR="00CD6C0E" w:rsidRPr="00C2219F" w14:paraId="2ABC1B37" w14:textId="77777777" w:rsidTr="008A16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1A1429" w14:textId="1106B7B9" w:rsidR="00CD6C0E" w:rsidRPr="00C2219F" w:rsidRDefault="00CD6C0E" w:rsidP="00CD6C0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5a758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84450E" w14:textId="2E103150" w:rsidR="00CD6C0E" w:rsidRPr="00C2219F" w:rsidRDefault="00CD6C0E" w:rsidP="00CD6C0E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Zoetis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5A13F6" w14:textId="7553D86A" w:rsidR="00CD6C0E" w:rsidRPr="00C2219F" w:rsidRDefault="00CD6C0E" w:rsidP="00CD6C0E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Robenidin</w:t>
            </w:r>
            <w:proofErr w:type="spellEnd"/>
            <w:r>
              <w:rPr>
                <w:sz w:val="20"/>
                <w:lang w:val="cs-CZ"/>
              </w:rPr>
              <w:t xml:space="preserve"> hydrochlorid (</w:t>
            </w:r>
            <w:proofErr w:type="spellStart"/>
            <w:r>
              <w:rPr>
                <w:sz w:val="20"/>
                <w:lang w:val="cs-CZ"/>
              </w:rPr>
              <w:t>Robenz</w:t>
            </w:r>
            <w:proofErr w:type="spellEnd"/>
            <w:r>
              <w:rPr>
                <w:sz w:val="20"/>
                <w:lang w:val="cs-CZ"/>
              </w:rPr>
              <w:t xml:space="preserve"> 66G)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1D3BA8" w14:textId="7E575622" w:rsidR="00CD6C0E" w:rsidRPr="00CD6C0E" w:rsidRDefault="00CD6C0E" w:rsidP="00CD6C0E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Složení doplňkové látky:</w:t>
            </w:r>
          </w:p>
          <w:p w14:paraId="5349775D" w14:textId="77777777" w:rsidR="00CD6C0E" w:rsidRDefault="00CD6C0E" w:rsidP="00CD6C0E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Robenidin</w:t>
            </w:r>
            <w:proofErr w:type="spellEnd"/>
            <w:r>
              <w:rPr>
                <w:sz w:val="20"/>
                <w:lang w:val="cs-CZ"/>
              </w:rPr>
              <w:t xml:space="preserve"> hydrochlorid: 66 g/kg</w:t>
            </w:r>
          </w:p>
          <w:p w14:paraId="2174F0DF" w14:textId="77777777" w:rsidR="00CD6C0E" w:rsidRDefault="00CD6C0E" w:rsidP="00CD6C0E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Lignosulfonát</w:t>
            </w:r>
            <w:proofErr w:type="spellEnd"/>
            <w:r>
              <w:rPr>
                <w:sz w:val="20"/>
                <w:lang w:val="cs-CZ"/>
              </w:rPr>
              <w:t>: 40 g/kg</w:t>
            </w:r>
          </w:p>
          <w:p w14:paraId="5471E636" w14:textId="77777777" w:rsidR="00CD6C0E" w:rsidRDefault="00CD6C0E" w:rsidP="00CD6C0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Síran vápenatý, dihydrát: 894 g/kg</w:t>
            </w:r>
          </w:p>
          <w:p w14:paraId="7FFCD6C5" w14:textId="77777777" w:rsidR="00CD6C0E" w:rsidRDefault="00CD6C0E" w:rsidP="00CD6C0E">
            <w:pPr>
              <w:rPr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Účinná látka:</w:t>
            </w:r>
          </w:p>
          <w:p w14:paraId="4A35E20B" w14:textId="400EA7E1" w:rsidR="00CD6C0E" w:rsidRDefault="00CD6C0E" w:rsidP="00CD6C0E">
            <w:pPr>
              <w:rPr>
                <w:sz w:val="20"/>
              </w:rPr>
            </w:pPr>
            <w:proofErr w:type="spellStart"/>
            <w:r>
              <w:rPr>
                <w:sz w:val="20"/>
                <w:lang w:val="cs-CZ"/>
              </w:rPr>
              <w:t>Robenidin</w:t>
            </w:r>
            <w:proofErr w:type="spellEnd"/>
            <w:r>
              <w:rPr>
                <w:sz w:val="20"/>
                <w:lang w:val="cs-CZ"/>
              </w:rPr>
              <w:t xml:space="preserve"> hydrochlorid, C</w:t>
            </w:r>
            <w:r>
              <w:rPr>
                <w:sz w:val="20"/>
                <w:vertAlign w:val="subscript"/>
                <w:lang w:val="cs-CZ"/>
              </w:rPr>
              <w:t>15</w:t>
            </w:r>
            <w:r>
              <w:rPr>
                <w:sz w:val="20"/>
                <w:lang w:val="cs-CZ"/>
              </w:rPr>
              <w:t>H</w:t>
            </w:r>
            <w:r>
              <w:rPr>
                <w:sz w:val="20"/>
                <w:vertAlign w:val="subscript"/>
                <w:lang w:val="cs-CZ"/>
              </w:rPr>
              <w:t>13</w:t>
            </w:r>
            <w:r>
              <w:rPr>
                <w:sz w:val="20"/>
                <w:lang w:val="cs-CZ"/>
              </w:rPr>
              <w:t>Cl</w:t>
            </w:r>
            <w:r>
              <w:rPr>
                <w:sz w:val="20"/>
                <w:vertAlign w:val="subscript"/>
                <w:lang w:val="cs-CZ"/>
              </w:rPr>
              <w:t>2</w:t>
            </w:r>
            <w:r>
              <w:rPr>
                <w:sz w:val="20"/>
                <w:lang w:val="cs-CZ"/>
              </w:rPr>
              <w:t>N</w:t>
            </w:r>
            <w:r>
              <w:rPr>
                <w:sz w:val="20"/>
                <w:vertAlign w:val="subscript"/>
                <w:lang w:val="cs-CZ"/>
              </w:rPr>
              <w:t>5</w:t>
            </w:r>
            <w:r>
              <w:rPr>
                <w:sz w:val="20"/>
                <w:lang w:val="cs-CZ"/>
              </w:rPr>
              <w:t>HCl, 1,3-bis</w:t>
            </w:r>
            <w:r w:rsidR="00952185">
              <w:rPr>
                <w:sz w:val="20"/>
              </w:rPr>
              <w:t>[(p-</w:t>
            </w:r>
            <w:proofErr w:type="spellStart"/>
            <w:proofErr w:type="gramStart"/>
            <w:r w:rsidR="00952185">
              <w:rPr>
                <w:sz w:val="20"/>
              </w:rPr>
              <w:t>chlorbenzyliden</w:t>
            </w:r>
            <w:proofErr w:type="spellEnd"/>
            <w:r w:rsidR="00952185">
              <w:rPr>
                <w:sz w:val="20"/>
              </w:rPr>
              <w:t>)amino</w:t>
            </w:r>
            <w:proofErr w:type="gramEnd"/>
            <w:r w:rsidR="00952185">
              <w:rPr>
                <w:sz w:val="20"/>
              </w:rPr>
              <w:t>]</w:t>
            </w:r>
            <w:proofErr w:type="spellStart"/>
            <w:r w:rsidR="00952185">
              <w:rPr>
                <w:sz w:val="20"/>
              </w:rPr>
              <w:t>guanidin</w:t>
            </w:r>
            <w:proofErr w:type="spellEnd"/>
            <w:r w:rsidR="00952185">
              <w:rPr>
                <w:sz w:val="20"/>
              </w:rPr>
              <w:t xml:space="preserve"> </w:t>
            </w:r>
            <w:proofErr w:type="spellStart"/>
            <w:r w:rsidR="00952185">
              <w:rPr>
                <w:sz w:val="20"/>
              </w:rPr>
              <w:t>hydrochlorid</w:t>
            </w:r>
            <w:proofErr w:type="spellEnd"/>
            <w:r w:rsidR="00952185">
              <w:rPr>
                <w:sz w:val="20"/>
              </w:rPr>
              <w:t xml:space="preserve"> (97%)</w:t>
            </w:r>
          </w:p>
          <w:p w14:paraId="2E1999E0" w14:textId="77777777" w:rsidR="00952185" w:rsidRDefault="00952185" w:rsidP="00CD6C0E">
            <w:pPr>
              <w:rPr>
                <w:sz w:val="20"/>
              </w:rPr>
            </w:pPr>
            <w:r>
              <w:rPr>
                <w:sz w:val="20"/>
              </w:rPr>
              <w:t>CAS: 25875-50-7</w:t>
            </w:r>
          </w:p>
          <w:p w14:paraId="5CEE34DA" w14:textId="77777777" w:rsidR="00952185" w:rsidRDefault="00952185" w:rsidP="00CD6C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Přidružené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nečistoty</w:t>
            </w:r>
            <w:proofErr w:type="spellEnd"/>
            <w:r>
              <w:rPr>
                <w:sz w:val="20"/>
              </w:rPr>
              <w:t xml:space="preserve">: </w:t>
            </w:r>
          </w:p>
          <w:p w14:paraId="31E1AA10" w14:textId="77777777" w:rsidR="00952185" w:rsidRDefault="00952185" w:rsidP="00CD6C0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N,N</w:t>
            </w:r>
            <w:proofErr w:type="gramEnd"/>
            <w:r>
              <w:rPr>
                <w:sz w:val="20"/>
              </w:rPr>
              <w:t>’,N’’-tris[(p-</w:t>
            </w:r>
            <w:proofErr w:type="spellStart"/>
            <w:r>
              <w:rPr>
                <w:sz w:val="20"/>
              </w:rPr>
              <w:t>chlorbenzyliden</w:t>
            </w:r>
            <w:proofErr w:type="spellEnd"/>
            <w:r>
              <w:rPr>
                <w:sz w:val="20"/>
              </w:rPr>
              <w:t>)amino]guanidine (TRIS) ≤ 0,5%</w:t>
            </w:r>
          </w:p>
          <w:p w14:paraId="6AAE97A0" w14:textId="77777777" w:rsidR="00952185" w:rsidRDefault="00952185" w:rsidP="00CD6C0E">
            <w:pPr>
              <w:rPr>
                <w:sz w:val="20"/>
              </w:rPr>
            </w:pPr>
            <w:r>
              <w:rPr>
                <w:sz w:val="20"/>
              </w:rPr>
              <w:t>- bis-(4-</w:t>
            </w:r>
            <w:proofErr w:type="gramStart"/>
            <w:r>
              <w:rPr>
                <w:sz w:val="20"/>
              </w:rPr>
              <w:t>chlorbenzyliden)hydrazine</w:t>
            </w:r>
            <w:proofErr w:type="gramEnd"/>
            <w:r>
              <w:rPr>
                <w:sz w:val="20"/>
              </w:rPr>
              <w:t xml:space="preserve"> (AZIN) ≤ 0,5%</w:t>
            </w:r>
          </w:p>
          <w:p w14:paraId="56D08C8B" w14:textId="77777777" w:rsidR="00952185" w:rsidRDefault="00952185" w:rsidP="00CD6C0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neznámá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nečistota</w:t>
            </w:r>
            <w:proofErr w:type="spellEnd"/>
            <w:r>
              <w:rPr>
                <w:sz w:val="20"/>
              </w:rPr>
              <w:t xml:space="preserve"> ≤ 1% (</w:t>
            </w:r>
            <w:proofErr w:type="spellStart"/>
            <w:r>
              <w:rPr>
                <w:sz w:val="20"/>
              </w:rPr>
              <w:t>jednotlivé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neznámé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nečistoty</w:t>
            </w:r>
            <w:proofErr w:type="spellEnd"/>
            <w:r>
              <w:rPr>
                <w:sz w:val="20"/>
              </w:rPr>
              <w:t xml:space="preserve"> ≤ 0,2%)</w:t>
            </w:r>
          </w:p>
          <w:p w14:paraId="5369B7A9" w14:textId="77777777" w:rsidR="00952185" w:rsidRDefault="00952185" w:rsidP="00CD6C0E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Analytická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metoda</w:t>
            </w:r>
            <w:proofErr w:type="spellEnd"/>
            <w:r>
              <w:rPr>
                <w:b/>
                <w:bCs/>
                <w:sz w:val="20"/>
              </w:rPr>
              <w:t>**:</w:t>
            </w:r>
          </w:p>
          <w:p w14:paraId="651007EF" w14:textId="77777777" w:rsidR="008A1678" w:rsidRDefault="008A1678" w:rsidP="00CD6C0E">
            <w:pPr>
              <w:rPr>
                <w:sz w:val="20"/>
              </w:rPr>
            </w:pPr>
            <w:r>
              <w:rPr>
                <w:sz w:val="20"/>
              </w:rPr>
              <w:t xml:space="preserve">Pro </w:t>
            </w:r>
            <w:proofErr w:type="spellStart"/>
            <w:r>
              <w:rPr>
                <w:sz w:val="20"/>
              </w:rPr>
              <w:t>stanovení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robenidinu</w:t>
            </w:r>
            <w:proofErr w:type="spellEnd"/>
            <w:r>
              <w:rPr>
                <w:sz w:val="20"/>
              </w:rPr>
              <w:t xml:space="preserve"> hydrochloride v </w:t>
            </w:r>
            <w:proofErr w:type="spellStart"/>
            <w:r>
              <w:rPr>
                <w:sz w:val="20"/>
              </w:rPr>
              <w:t>doplňkové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látce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premixech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vysokoúčinná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kapalinová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chromatografie</w:t>
            </w:r>
            <w:proofErr w:type="spellEnd"/>
            <w:r>
              <w:rPr>
                <w:sz w:val="20"/>
              </w:rPr>
              <w:t xml:space="preserve"> s UV </w:t>
            </w:r>
            <w:proofErr w:type="spellStart"/>
            <w:r>
              <w:rPr>
                <w:sz w:val="20"/>
              </w:rPr>
              <w:t>detekcí</w:t>
            </w:r>
            <w:proofErr w:type="spellEnd"/>
            <w:r>
              <w:rPr>
                <w:sz w:val="20"/>
              </w:rPr>
              <w:t xml:space="preserve"> (HPLC-UV)</w:t>
            </w:r>
          </w:p>
          <w:p w14:paraId="03F70E96" w14:textId="77777777" w:rsidR="008A1678" w:rsidRDefault="008A1678" w:rsidP="00CD6C0E">
            <w:pPr>
              <w:rPr>
                <w:sz w:val="20"/>
              </w:rPr>
            </w:pPr>
            <w:r>
              <w:rPr>
                <w:sz w:val="20"/>
              </w:rPr>
              <w:t xml:space="preserve">Pro </w:t>
            </w:r>
            <w:proofErr w:type="spellStart"/>
            <w:r>
              <w:rPr>
                <w:sz w:val="20"/>
              </w:rPr>
              <w:t>kvantifikaci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robenidinu</w:t>
            </w:r>
            <w:proofErr w:type="spellEnd"/>
            <w:r>
              <w:rPr>
                <w:sz w:val="20"/>
              </w:rPr>
              <w:t xml:space="preserve"> hydrochloride v </w:t>
            </w:r>
            <w:proofErr w:type="spellStart"/>
            <w:r>
              <w:rPr>
                <w:sz w:val="20"/>
              </w:rPr>
              <w:t>krmivech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vysokoúčinná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kapalinová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chromatografie</w:t>
            </w:r>
            <w:proofErr w:type="spellEnd"/>
            <w:r>
              <w:rPr>
                <w:sz w:val="20"/>
              </w:rPr>
              <w:t xml:space="preserve"> s UV </w:t>
            </w:r>
            <w:proofErr w:type="spellStart"/>
            <w:r>
              <w:rPr>
                <w:sz w:val="20"/>
              </w:rPr>
              <w:t>detekcí</w:t>
            </w:r>
            <w:proofErr w:type="spellEnd"/>
            <w:r>
              <w:rPr>
                <w:sz w:val="20"/>
              </w:rPr>
              <w:t xml:space="preserve"> (HPLC-UV) – </w:t>
            </w:r>
            <w:proofErr w:type="spellStart"/>
            <w:r>
              <w:rPr>
                <w:sz w:val="20"/>
              </w:rPr>
              <w:t>nařízení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Komise</w:t>
            </w:r>
            <w:proofErr w:type="spellEnd"/>
            <w:r>
              <w:rPr>
                <w:sz w:val="20"/>
              </w:rPr>
              <w:t xml:space="preserve"> (ES) č. 152/2009</w:t>
            </w:r>
          </w:p>
          <w:p w14:paraId="21BC912C" w14:textId="25C56FC0" w:rsidR="008A1678" w:rsidRPr="008A1678" w:rsidRDefault="008A1678" w:rsidP="00CD6C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Pro </w:t>
            </w:r>
            <w:proofErr w:type="spellStart"/>
            <w:r>
              <w:rPr>
                <w:sz w:val="20"/>
              </w:rPr>
              <w:t>kvantifikaci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robenidinu</w:t>
            </w:r>
            <w:proofErr w:type="spellEnd"/>
            <w:r>
              <w:rPr>
                <w:sz w:val="20"/>
              </w:rPr>
              <w:t xml:space="preserve"> hydrochloride v </w:t>
            </w:r>
            <w:proofErr w:type="spellStart"/>
            <w:r>
              <w:rPr>
                <w:sz w:val="20"/>
              </w:rPr>
              <w:t>tkáních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vysokoúčinná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kapalinová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chromatografie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reverzní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fázi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spojení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hmotnostním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spektrometrem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trojitým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quadrupolem</w:t>
            </w:r>
            <w:proofErr w:type="spellEnd"/>
            <w:r>
              <w:rPr>
                <w:sz w:val="20"/>
              </w:rPr>
              <w:t xml:space="preserve"> (RP-HPLC-MS/MS)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jiné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rovnocené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které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jsou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souladu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požadavky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stanovenými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rozhodnutí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Komise</w:t>
            </w:r>
            <w:proofErr w:type="spellEnd"/>
            <w:r>
              <w:rPr>
                <w:sz w:val="20"/>
              </w:rPr>
              <w:t xml:space="preserve"> 2002/657/ES.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19FF6D" w14:textId="0EF2B001" w:rsidR="00CD6C0E" w:rsidRPr="008A1678" w:rsidRDefault="008A1678" w:rsidP="00CD6C0E">
            <w:pPr>
              <w:rPr>
                <w:sz w:val="20"/>
                <w:vertAlign w:val="superscript"/>
                <w:lang w:val="cs-CZ"/>
              </w:rPr>
            </w:pPr>
            <w:r w:rsidRPr="008A1678">
              <w:rPr>
                <w:sz w:val="20"/>
                <w:lang w:val="cs-CZ"/>
              </w:rPr>
              <w:lastRenderedPageBreak/>
              <w:t>Výkrm</w:t>
            </w:r>
            <w:r>
              <w:rPr>
                <w:sz w:val="20"/>
                <w:lang w:val="cs-CZ"/>
              </w:rPr>
              <w:t xml:space="preserve"> kuřat</w:t>
            </w:r>
            <w:r>
              <w:rPr>
                <w:sz w:val="20"/>
                <w:vertAlign w:val="superscript"/>
                <w:lang w:val="cs-CZ"/>
              </w:rPr>
              <w:t>59)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68EC83" w14:textId="0F56BD54" w:rsidR="00CD6C0E" w:rsidRPr="00C2219F" w:rsidRDefault="008A1678" w:rsidP="00CD6C0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46375A" w14:textId="4E76ADF1" w:rsidR="00CD6C0E" w:rsidRPr="00C2219F" w:rsidRDefault="008A1678" w:rsidP="008A1678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C668C3" w14:textId="0CD8199B" w:rsidR="00CD6C0E" w:rsidRPr="00C2219F" w:rsidRDefault="008A1678" w:rsidP="008A1678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FAE5EC" w14:textId="6F97DDAE" w:rsidR="00CD6C0E" w:rsidRPr="008A1678" w:rsidRDefault="008A1678" w:rsidP="008A1678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1. </w:t>
            </w:r>
            <w:r w:rsidRPr="008A1678">
              <w:rPr>
                <w:sz w:val="20"/>
                <w:lang w:val="cs-CZ"/>
              </w:rPr>
              <w:t>Použití doplňkové látky je zakázáno nejméně pět dnů před porážkou.</w:t>
            </w:r>
          </w:p>
          <w:p w14:paraId="6C3737D1" w14:textId="77777777" w:rsidR="008A1678" w:rsidRDefault="008A1678" w:rsidP="00CD6C0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2. Doplňková látka se do krmných směsí musí zapracovat ve formě </w:t>
            </w:r>
            <w:proofErr w:type="spellStart"/>
            <w:r>
              <w:rPr>
                <w:sz w:val="20"/>
                <w:lang w:val="cs-CZ"/>
              </w:rPr>
              <w:t>premixu</w:t>
            </w:r>
            <w:proofErr w:type="spellEnd"/>
            <w:r>
              <w:rPr>
                <w:sz w:val="20"/>
                <w:lang w:val="cs-CZ"/>
              </w:rPr>
              <w:t>.</w:t>
            </w:r>
          </w:p>
          <w:p w14:paraId="4C5FD04C" w14:textId="77777777" w:rsidR="008A1678" w:rsidRDefault="00AE106B" w:rsidP="00CD6C0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3. Doplňková látka se nesmí míchat s jinými </w:t>
            </w:r>
            <w:proofErr w:type="spellStart"/>
            <w:r>
              <w:rPr>
                <w:sz w:val="20"/>
                <w:lang w:val="cs-CZ"/>
              </w:rPr>
              <w:t>kokcidiostatiky</w:t>
            </w:r>
            <w:proofErr w:type="spellEnd"/>
            <w:r>
              <w:rPr>
                <w:sz w:val="20"/>
                <w:lang w:val="cs-CZ"/>
              </w:rPr>
              <w:t>.</w:t>
            </w:r>
          </w:p>
          <w:p w14:paraId="72A622F7" w14:textId="77777777" w:rsidR="00AE106B" w:rsidRDefault="00AE106B" w:rsidP="00CD6C0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4. </w:t>
            </w:r>
            <w:r w:rsidR="0080731F">
              <w:rPr>
                <w:sz w:val="20"/>
                <w:lang w:val="cs-CZ"/>
              </w:rPr>
              <w:t>Držitel povolení</w:t>
            </w:r>
            <w:r w:rsidR="00C710D4">
              <w:rPr>
                <w:sz w:val="20"/>
                <w:lang w:val="cs-CZ"/>
              </w:rPr>
              <w:t xml:space="preserve"> musí provádět programy monitorování po uvedení na trh, pokud jde o: rezistenci vůči bakteriím a </w:t>
            </w:r>
            <w:proofErr w:type="spellStart"/>
            <w:r w:rsidR="00C710D4">
              <w:rPr>
                <w:i/>
                <w:iCs/>
                <w:sz w:val="20"/>
                <w:lang w:val="cs-CZ"/>
              </w:rPr>
              <w:t>Eimeria</w:t>
            </w:r>
            <w:proofErr w:type="spellEnd"/>
            <w:r w:rsidR="00C710D4">
              <w:rPr>
                <w:sz w:val="20"/>
                <w:lang w:val="cs-CZ"/>
              </w:rPr>
              <w:t xml:space="preserve"> </w:t>
            </w:r>
            <w:proofErr w:type="spellStart"/>
            <w:r w:rsidR="00C710D4">
              <w:rPr>
                <w:sz w:val="20"/>
                <w:lang w:val="cs-CZ"/>
              </w:rPr>
              <w:t>ssp</w:t>
            </w:r>
            <w:proofErr w:type="spellEnd"/>
            <w:r w:rsidR="00C710D4">
              <w:rPr>
                <w:sz w:val="20"/>
                <w:lang w:val="cs-CZ"/>
              </w:rPr>
              <w:t>.</w:t>
            </w:r>
          </w:p>
          <w:p w14:paraId="72866980" w14:textId="36F64483" w:rsidR="0094065D" w:rsidRDefault="0094065D" w:rsidP="00CD6C0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5. 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</w:t>
            </w:r>
            <w:r w:rsidR="004D310D">
              <w:rPr>
                <w:sz w:val="20"/>
                <w:lang w:val="cs-CZ"/>
              </w:rPr>
              <w:t xml:space="preserve"> provozní postupy a organizační opatření, která budou řešit případná rizika při jejich</w:t>
            </w:r>
            <w:r w:rsidR="002567FD">
              <w:rPr>
                <w:sz w:val="20"/>
                <w:lang w:val="cs-CZ"/>
              </w:rPr>
              <w:t xml:space="preserve"> použití. Pokud uvedená rizika nelze těmito postupy a opatřeními vyloučit nebo snížit na minimum, musí se doplňková látka a </w:t>
            </w:r>
            <w:proofErr w:type="spellStart"/>
            <w:r w:rsidR="002567FD">
              <w:rPr>
                <w:sz w:val="20"/>
                <w:lang w:val="cs-CZ"/>
              </w:rPr>
              <w:t>premixy</w:t>
            </w:r>
            <w:proofErr w:type="spellEnd"/>
            <w:r w:rsidR="002567FD">
              <w:rPr>
                <w:sz w:val="20"/>
                <w:lang w:val="cs-CZ"/>
              </w:rPr>
              <w:t xml:space="preserve"> </w:t>
            </w:r>
            <w:r w:rsidR="008845C4">
              <w:rPr>
                <w:sz w:val="20"/>
                <w:lang w:val="cs-CZ"/>
              </w:rPr>
              <w:t>používat s vhodnými osobními ochrannými prostředky.</w:t>
            </w:r>
          </w:p>
          <w:p w14:paraId="64ADDE6C" w14:textId="6A985F21" w:rsidR="0094065D" w:rsidRPr="00C710D4" w:rsidRDefault="0094065D" w:rsidP="00CD6C0E">
            <w:pPr>
              <w:rPr>
                <w:sz w:val="20"/>
                <w:lang w:val="cs-CZ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3AD06A" w14:textId="6BEB0F57" w:rsidR="00CD6C0E" w:rsidRPr="00C2219F" w:rsidRDefault="008A1678" w:rsidP="00CD6C0E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5.února 2030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7E" w14:textId="77777777" w:rsidR="00CD6C0E" w:rsidRDefault="00BC017C" w:rsidP="00CD6C0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800µg </w:t>
            </w:r>
            <w:proofErr w:type="spellStart"/>
            <w:r>
              <w:rPr>
                <w:sz w:val="20"/>
                <w:szCs w:val="20"/>
                <w:lang w:val="cs-CZ"/>
              </w:rPr>
              <w:t>robenidin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hydrochloridu</w:t>
            </w:r>
            <w:r w:rsidR="00EE5F33">
              <w:rPr>
                <w:sz w:val="20"/>
                <w:szCs w:val="20"/>
                <w:lang w:val="cs-CZ"/>
              </w:rPr>
              <w:t>/kg jater v syrovém stavu</w:t>
            </w:r>
          </w:p>
          <w:p w14:paraId="1117052A" w14:textId="0F432195" w:rsidR="00EE5F33" w:rsidRDefault="00EE5F33" w:rsidP="00EE5F3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350µg </w:t>
            </w:r>
            <w:proofErr w:type="spellStart"/>
            <w:r>
              <w:rPr>
                <w:sz w:val="20"/>
                <w:szCs w:val="20"/>
                <w:lang w:val="cs-CZ"/>
              </w:rPr>
              <w:t>robenidin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hydrochloridu/kg ledvin v syrovém stavu</w:t>
            </w:r>
          </w:p>
          <w:p w14:paraId="1D6C12B2" w14:textId="11B4905D" w:rsidR="00EE5F33" w:rsidRDefault="00EE5F33" w:rsidP="00EE5F3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200µg </w:t>
            </w:r>
            <w:proofErr w:type="spellStart"/>
            <w:r>
              <w:rPr>
                <w:sz w:val="20"/>
                <w:szCs w:val="20"/>
                <w:lang w:val="cs-CZ"/>
              </w:rPr>
              <w:t>robenidin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hydrochloridu/kg svaloviny v syrovém stavu</w:t>
            </w:r>
          </w:p>
          <w:p w14:paraId="751C7BBF" w14:textId="7259A84B" w:rsidR="008367F8" w:rsidRDefault="008367F8" w:rsidP="008367F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1300µg </w:t>
            </w:r>
            <w:proofErr w:type="spellStart"/>
            <w:r>
              <w:rPr>
                <w:sz w:val="20"/>
                <w:szCs w:val="20"/>
                <w:lang w:val="cs-CZ"/>
              </w:rPr>
              <w:t>robenidin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hydrochloridu/kg kůže/tuku v syrovém stavu</w:t>
            </w:r>
          </w:p>
          <w:p w14:paraId="545A6406" w14:textId="4F225403" w:rsidR="00EE5F33" w:rsidRPr="00C2219F" w:rsidRDefault="00EE5F33" w:rsidP="00CD6C0E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06DA43D7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2B01DE1C" w14:textId="6AE9E384" w:rsidR="00952185" w:rsidRDefault="00952185" w:rsidP="00952185">
      <w:pPr>
        <w:pStyle w:val="CM1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**…P</w:t>
      </w:r>
      <w:r w:rsidRPr="00514C9F">
        <w:rPr>
          <w:rFonts w:ascii="Times New Roman" w:hAnsi="Times New Roman"/>
          <w:sz w:val="20"/>
          <w:szCs w:val="20"/>
        </w:rPr>
        <w:t>odrobné informace o analytických metodách lze získat na internetové stránce referenční laboratoře:</w:t>
      </w:r>
      <w:r>
        <w:t xml:space="preserve"> </w:t>
      </w:r>
      <w:hyperlink r:id="rId8" w:history="1">
        <w:r w:rsidRPr="00B23DF9">
          <w:rPr>
            <w:rStyle w:val="Hypertextovodkaz"/>
            <w:rFonts w:ascii="Times New Roman" w:hAnsi="Times New Roman"/>
            <w:sz w:val="20"/>
            <w:szCs w:val="20"/>
          </w:rPr>
          <w:t>https://ec.europa.eu/jrc/en/eurl/feed-additives/evaluation-reports</w:t>
        </w:r>
      </w:hyperlink>
    </w:p>
    <w:p w14:paraId="0A85A36A" w14:textId="1408A72B" w:rsidR="00952185" w:rsidRPr="00514C9F" w:rsidRDefault="00952185" w:rsidP="00952185">
      <w:pPr>
        <w:pStyle w:val="CM1"/>
        <w:widowControl w:val="0"/>
        <w:rPr>
          <w:rFonts w:ascii="Times New Roman" w:hAnsi="Times New Roman"/>
          <w:sz w:val="20"/>
          <w:szCs w:val="20"/>
        </w:rPr>
      </w:pPr>
      <w:r w:rsidRPr="00514C9F">
        <w:rPr>
          <w:rFonts w:ascii="Times New Roman" w:hAnsi="Times New Roman"/>
          <w:sz w:val="20"/>
          <w:szCs w:val="20"/>
        </w:rPr>
        <w:t xml:space="preserve"> </w:t>
      </w:r>
    </w:p>
    <w:p w14:paraId="3A2905D2" w14:textId="43DACBF0" w:rsidR="00952185" w:rsidRPr="00952185" w:rsidRDefault="00952185">
      <w:pPr>
        <w:spacing w:after="160" w:line="259" w:lineRule="auto"/>
        <w:rPr>
          <w:color w:val="000000"/>
          <w:sz w:val="20"/>
          <w:szCs w:val="20"/>
          <w:lang w:val="cs-CZ"/>
        </w:rPr>
      </w:pPr>
    </w:p>
    <w:p w14:paraId="7CB18E1B" w14:textId="77777777" w:rsidR="00D208F9" w:rsidRDefault="001C0150">
      <w:pPr>
        <w:spacing w:after="160" w:line="259" w:lineRule="auto"/>
        <w:rPr>
          <w:color w:val="000000"/>
          <w:szCs w:val="20"/>
          <w:lang w:val="cs-CZ"/>
        </w:rPr>
      </w:pPr>
      <w:r>
        <w:rPr>
          <w:color w:val="000000"/>
          <w:szCs w:val="20"/>
          <w:lang w:val="cs-CZ"/>
        </w:rPr>
        <w:br w:type="page"/>
      </w:r>
    </w:p>
    <w:tbl>
      <w:tblPr>
        <w:tblpPr w:leftFromText="141" w:rightFromText="141" w:horzAnchor="margin" w:tblpXSpec="center" w:tblpY="240"/>
        <w:tblW w:w="15021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134"/>
        <w:gridCol w:w="3827"/>
        <w:gridCol w:w="1134"/>
        <w:gridCol w:w="851"/>
        <w:gridCol w:w="992"/>
        <w:gridCol w:w="1134"/>
        <w:gridCol w:w="2835"/>
        <w:gridCol w:w="1134"/>
      </w:tblGrid>
      <w:tr w:rsidR="00440CEC" w:rsidRPr="00C2219F" w14:paraId="2F955C58" w14:textId="77777777" w:rsidTr="00F214E5">
        <w:trPr>
          <w:cantSplit/>
          <w:trHeight w:val="63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164BA2" w14:textId="77777777" w:rsidR="00440CEC" w:rsidRPr="00C2219F" w:rsidRDefault="00440CEC" w:rsidP="00FC25C9">
            <w:pPr>
              <w:pStyle w:val="Tabulka"/>
              <w:keepNext w:val="0"/>
              <w:keepLines w:val="0"/>
            </w:pPr>
            <w:r w:rsidRPr="00C2219F">
              <w:rPr>
                <w:color w:val="000000"/>
              </w:rPr>
              <w:lastRenderedPageBreak/>
              <w:br w:type="page"/>
            </w:r>
            <w:r>
              <w:t>IČ</w:t>
            </w:r>
            <w:r w:rsidRPr="00C2219F">
              <w:t xml:space="preserve"> </w:t>
            </w:r>
            <w:proofErr w:type="spellStart"/>
            <w:r w:rsidRPr="00C2219F">
              <w:t>doplňkové</w:t>
            </w:r>
            <w:proofErr w:type="spellEnd"/>
            <w:r w:rsidRPr="00C2219F">
              <w:t xml:space="preserve"> </w:t>
            </w:r>
            <w:proofErr w:type="spellStart"/>
            <w:r w:rsidRPr="00C2219F">
              <w:t>látky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605056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1F6957B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BD19043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98287D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</w:t>
            </w:r>
            <w:r w:rsidRPr="00C2219F">
              <w:rPr>
                <w:sz w:val="20"/>
                <w:szCs w:val="20"/>
                <w:lang w:val="cs-CZ"/>
              </w:rPr>
              <w:t>hemický vzorec, popis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5562E8E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44F40C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C221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7E5350DD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D522CB0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4894643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594884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3FB111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40CEC" w:rsidRPr="00C2219F" w14:paraId="760B18E6" w14:textId="77777777" w:rsidTr="00F214E5">
        <w:trPr>
          <w:cantSplit/>
          <w:trHeight w:val="20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0461A8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231AAA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C29AD0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8B9FA19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BC7770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63EBBF6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BD8FA7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63CD7DB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31AC66" w14:textId="77777777" w:rsidR="00440CEC" w:rsidRPr="00C2219F" w:rsidRDefault="00440CEC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40CEC" w:rsidRPr="00C2219F" w14:paraId="1B35ECEC" w14:textId="77777777" w:rsidTr="00F214E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C7153C" w14:textId="2745A21B" w:rsidR="00440CEC" w:rsidRPr="00C2219F" w:rsidRDefault="00440CEC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51756i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866501" w14:textId="07FAC6ED" w:rsidR="00440CEC" w:rsidRPr="00C2219F" w:rsidRDefault="00440CEC" w:rsidP="00FC25C9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Zoetis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Belgium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DB8C6" w14:textId="535EB337" w:rsidR="00440CEC" w:rsidRPr="00C2219F" w:rsidRDefault="00440CEC" w:rsidP="00FC25C9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Dekochinát</w:t>
            </w:r>
            <w:proofErr w:type="spellEnd"/>
            <w:r>
              <w:rPr>
                <w:sz w:val="20"/>
                <w:lang w:val="cs-CZ"/>
              </w:rPr>
              <w:t xml:space="preserve"> (</w:t>
            </w:r>
            <w:proofErr w:type="spellStart"/>
            <w:r>
              <w:rPr>
                <w:sz w:val="20"/>
                <w:lang w:val="cs-CZ"/>
              </w:rPr>
              <w:t>Deccox</w:t>
            </w:r>
            <w:proofErr w:type="spellEnd"/>
            <w:r>
              <w:rPr>
                <w:sz w:val="20"/>
                <w:lang w:val="cs-CZ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063C7F" w14:textId="77777777" w:rsidR="00440CEC" w:rsidRPr="00CD6C0E" w:rsidRDefault="00440CEC" w:rsidP="00FC25C9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Složení doplňkové látky:</w:t>
            </w:r>
          </w:p>
          <w:p w14:paraId="0B4BD9AA" w14:textId="2916418C" w:rsidR="00440CEC" w:rsidRDefault="00440CEC" w:rsidP="00FC25C9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Dekochinát</w:t>
            </w:r>
            <w:proofErr w:type="spellEnd"/>
            <w:r>
              <w:rPr>
                <w:sz w:val="20"/>
                <w:lang w:val="cs-CZ"/>
              </w:rPr>
              <w:t>: 60,0 g/kg</w:t>
            </w:r>
          </w:p>
          <w:p w14:paraId="77E9F63E" w14:textId="6DABDD5A" w:rsidR="00440CEC" w:rsidRDefault="00440CEC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Sójový olej: 28,5 g/kg</w:t>
            </w:r>
          </w:p>
          <w:p w14:paraId="65989E29" w14:textId="616B0109" w:rsidR="00440CEC" w:rsidRDefault="00440CEC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Oxid křemičitý koloidní: 0,6 g/kg</w:t>
            </w:r>
          </w:p>
          <w:p w14:paraId="61139FFE" w14:textId="7A91286F" w:rsidR="00440CEC" w:rsidRDefault="00440CEC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Pšeničná krupice: </w:t>
            </w:r>
            <w:proofErr w:type="spellStart"/>
            <w:r>
              <w:rPr>
                <w:sz w:val="20"/>
                <w:lang w:val="cs-CZ"/>
              </w:rPr>
              <w:t>q.s</w:t>
            </w:r>
            <w:proofErr w:type="spellEnd"/>
            <w:r>
              <w:rPr>
                <w:sz w:val="20"/>
                <w:lang w:val="cs-CZ"/>
              </w:rPr>
              <w:t>. 1 kg</w:t>
            </w:r>
          </w:p>
          <w:p w14:paraId="2DC92655" w14:textId="77777777" w:rsidR="00440CEC" w:rsidRDefault="00440CEC" w:rsidP="00FC25C9">
            <w:pPr>
              <w:rPr>
                <w:sz w:val="20"/>
                <w:lang w:val="cs-CZ"/>
              </w:rPr>
            </w:pPr>
          </w:p>
          <w:p w14:paraId="2AF86BA1" w14:textId="0A58385D" w:rsidR="00440CEC" w:rsidRDefault="00440CEC" w:rsidP="00FC25C9">
            <w:pPr>
              <w:rPr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Charakteristika účinné látky:</w:t>
            </w:r>
          </w:p>
          <w:p w14:paraId="6C37CE47" w14:textId="77777777" w:rsidR="00440CEC" w:rsidRDefault="00440CEC" w:rsidP="00FC25C9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Dekochinát</w:t>
            </w:r>
            <w:proofErr w:type="spellEnd"/>
          </w:p>
          <w:p w14:paraId="1745C613" w14:textId="55F12009" w:rsidR="00440CEC" w:rsidRDefault="00440CEC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</w:t>
            </w:r>
            <w:r>
              <w:rPr>
                <w:sz w:val="20"/>
                <w:vertAlign w:val="subscript"/>
                <w:lang w:val="cs-CZ"/>
              </w:rPr>
              <w:t>24</w:t>
            </w:r>
            <w:r>
              <w:rPr>
                <w:sz w:val="20"/>
                <w:lang w:val="cs-CZ"/>
              </w:rPr>
              <w:t>H</w:t>
            </w:r>
            <w:r>
              <w:rPr>
                <w:sz w:val="20"/>
                <w:vertAlign w:val="subscript"/>
                <w:lang w:val="cs-CZ"/>
              </w:rPr>
              <w:t>35</w:t>
            </w:r>
            <w:r>
              <w:rPr>
                <w:sz w:val="20"/>
                <w:lang w:val="cs-CZ"/>
              </w:rPr>
              <w:t>NO</w:t>
            </w:r>
            <w:r>
              <w:rPr>
                <w:sz w:val="20"/>
                <w:vertAlign w:val="subscript"/>
                <w:lang w:val="cs-CZ"/>
              </w:rPr>
              <w:t xml:space="preserve">5 </w:t>
            </w:r>
          </w:p>
          <w:p w14:paraId="1E66E22C" w14:textId="3158587F" w:rsidR="00440CEC" w:rsidRPr="00C920C5" w:rsidRDefault="00440CEC" w:rsidP="00FC25C9">
            <w:pPr>
              <w:rPr>
                <w:sz w:val="20"/>
              </w:rPr>
            </w:pPr>
            <w:proofErr w:type="spellStart"/>
            <w:r>
              <w:rPr>
                <w:sz w:val="20"/>
                <w:lang w:val="cs-CZ"/>
              </w:rPr>
              <w:t>Ethyl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gramStart"/>
            <w:r>
              <w:rPr>
                <w:sz w:val="20"/>
                <w:lang w:val="cs-CZ"/>
              </w:rPr>
              <w:t>6-decykloxy</w:t>
            </w:r>
            <w:proofErr w:type="gramEnd"/>
            <w:r>
              <w:rPr>
                <w:sz w:val="20"/>
                <w:lang w:val="cs-CZ"/>
              </w:rPr>
              <w:t>-7-ethoxy-4-hydroxychinolin-3-karboxylát</w:t>
            </w:r>
          </w:p>
          <w:p w14:paraId="6ACC7E6C" w14:textId="7C1D10BF" w:rsidR="00440CEC" w:rsidRDefault="00440CEC" w:rsidP="00FC25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CAS: 18507-89-6</w:t>
            </w:r>
          </w:p>
          <w:p w14:paraId="421AE5ED" w14:textId="04CFFADF" w:rsidR="00440CEC" w:rsidRDefault="00440CEC" w:rsidP="00FC25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Související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nečistoty</w:t>
            </w:r>
            <w:proofErr w:type="spellEnd"/>
            <w:r>
              <w:rPr>
                <w:sz w:val="20"/>
              </w:rPr>
              <w:t xml:space="preserve">: </w:t>
            </w:r>
          </w:p>
          <w:p w14:paraId="1CF39622" w14:textId="245452C4" w:rsidR="00440CEC" w:rsidRDefault="00440CEC" w:rsidP="00FC25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kyselina</w:t>
            </w:r>
            <w:proofErr w:type="spellEnd"/>
            <w:r>
              <w:rPr>
                <w:sz w:val="20"/>
              </w:rPr>
              <w:t xml:space="preserve"> 6-decykloxy-7-ethoxy-4-hydroxychinolin-3-karboxylová: &lt; 0,5%</w:t>
            </w:r>
          </w:p>
          <w:p w14:paraId="6A26CF45" w14:textId="51F7E512" w:rsidR="00440CEC" w:rsidRDefault="00440CEC" w:rsidP="00FC25C9">
            <w:pPr>
              <w:rPr>
                <w:sz w:val="20"/>
              </w:rPr>
            </w:pPr>
            <w:r w:rsidRPr="003B3076">
              <w:rPr>
                <w:sz w:val="20"/>
              </w:rPr>
              <w:t>methyl-6-</w:t>
            </w:r>
            <w:r>
              <w:rPr>
                <w:sz w:val="20"/>
              </w:rPr>
              <w:t>decykloxy-7-ethoxy-4-hydroxychinolin-3-karboxylát: &lt; 1,0%</w:t>
            </w:r>
          </w:p>
          <w:p w14:paraId="318AEB7F" w14:textId="45E2A19B" w:rsidR="00440CEC" w:rsidRDefault="00440CEC" w:rsidP="00FC25C9">
            <w:pPr>
              <w:rPr>
                <w:sz w:val="20"/>
              </w:rPr>
            </w:pPr>
            <w:r>
              <w:rPr>
                <w:sz w:val="20"/>
              </w:rPr>
              <w:t>diethyl 4-decykloxy-3-ethoxyanilinmethylenmalonát (</w:t>
            </w:r>
            <w:proofErr w:type="spellStart"/>
            <w:r>
              <w:rPr>
                <w:sz w:val="20"/>
              </w:rPr>
              <w:t>sloučenina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anilinu</w:t>
            </w:r>
            <w:proofErr w:type="spellEnd"/>
            <w:r>
              <w:rPr>
                <w:sz w:val="20"/>
              </w:rPr>
              <w:t>) &lt; 0,5%</w:t>
            </w:r>
          </w:p>
          <w:p w14:paraId="225E9559" w14:textId="77777777" w:rsidR="00440CEC" w:rsidRPr="003B3076" w:rsidRDefault="00440CEC" w:rsidP="00FC25C9">
            <w:pPr>
              <w:rPr>
                <w:sz w:val="20"/>
              </w:rPr>
            </w:pPr>
          </w:p>
          <w:p w14:paraId="7B0899C0" w14:textId="2EA77B02" w:rsidR="00440CEC" w:rsidRDefault="00440CEC" w:rsidP="00FC25C9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Analytická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metoda</w:t>
            </w:r>
            <w:proofErr w:type="spellEnd"/>
            <w:r>
              <w:rPr>
                <w:b/>
                <w:bCs/>
                <w:sz w:val="20"/>
              </w:rPr>
              <w:t>**:</w:t>
            </w:r>
          </w:p>
          <w:p w14:paraId="013BBABA" w14:textId="77777777" w:rsidR="00440CEC" w:rsidRDefault="00440CEC" w:rsidP="00FC25C9">
            <w:pPr>
              <w:rPr>
                <w:sz w:val="20"/>
              </w:rPr>
            </w:pPr>
            <w:r>
              <w:rPr>
                <w:sz w:val="20"/>
              </w:rPr>
              <w:t xml:space="preserve">Pro </w:t>
            </w:r>
            <w:proofErr w:type="spellStart"/>
            <w:r>
              <w:rPr>
                <w:sz w:val="20"/>
              </w:rPr>
              <w:t>stanovení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dekochinát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doplňkové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premixech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krmivech</w:t>
            </w:r>
            <w:proofErr w:type="spellEnd"/>
            <w:r>
              <w:rPr>
                <w:sz w:val="20"/>
              </w:rPr>
              <w:t>:</w:t>
            </w:r>
          </w:p>
          <w:p w14:paraId="0E39EC63" w14:textId="56135B7B" w:rsidR="00440CEC" w:rsidRPr="008A1678" w:rsidRDefault="00440CEC" w:rsidP="00FC25C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vysokoúčinná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kapalinová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chromatografie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reverzní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fázi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fluorescenční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detekcí</w:t>
            </w:r>
            <w:proofErr w:type="spellEnd"/>
            <w:r>
              <w:rPr>
                <w:sz w:val="20"/>
              </w:rPr>
              <w:t xml:space="preserve"> (RP-HPLC-FL) – EN 16162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2E399A" w14:textId="6B9BB224" w:rsidR="00440CEC" w:rsidRPr="008A1678" w:rsidRDefault="00440CEC" w:rsidP="00FC25C9">
            <w:pPr>
              <w:rPr>
                <w:sz w:val="20"/>
                <w:vertAlign w:val="superscript"/>
                <w:lang w:val="cs-CZ"/>
              </w:rPr>
            </w:pPr>
            <w:r w:rsidRPr="008A1678">
              <w:rPr>
                <w:sz w:val="20"/>
                <w:lang w:val="cs-CZ"/>
              </w:rPr>
              <w:t>Výkrm</w:t>
            </w:r>
            <w:r>
              <w:rPr>
                <w:sz w:val="20"/>
                <w:lang w:val="cs-CZ"/>
              </w:rPr>
              <w:t xml:space="preserve"> kuřat </w:t>
            </w:r>
            <w:r>
              <w:rPr>
                <w:sz w:val="20"/>
                <w:vertAlign w:val="superscript"/>
                <w:lang w:val="cs-CZ"/>
              </w:rPr>
              <w:t>6</w:t>
            </w:r>
            <w:r w:rsidR="005215D3">
              <w:rPr>
                <w:sz w:val="20"/>
                <w:vertAlign w:val="superscript"/>
                <w:lang w:val="cs-CZ"/>
              </w:rPr>
              <w:t>2</w:t>
            </w:r>
            <w:r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64A629" w14:textId="77777777" w:rsidR="00440CEC" w:rsidRPr="00C2219F" w:rsidRDefault="00440CEC" w:rsidP="00FC25C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4724E0" w14:textId="60FEAFFE" w:rsidR="00440CEC" w:rsidRPr="00C2219F" w:rsidRDefault="00440CEC" w:rsidP="00FC25C9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5E5EC5" w14:textId="7ACC56C8" w:rsidR="00440CEC" w:rsidRPr="00C2219F" w:rsidRDefault="00440CEC" w:rsidP="00FC25C9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668AA6" w14:textId="4FB38E4C" w:rsidR="00440CEC" w:rsidRPr="008A1678" w:rsidRDefault="00440CEC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být uvedeny podmínky skladování a stabilita při tepelném ošetření.</w:t>
            </w:r>
          </w:p>
          <w:p w14:paraId="2AE1EF67" w14:textId="099A5204" w:rsidR="00440CEC" w:rsidRDefault="00440CEC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2. Doplňková látka se do krmné směsi musí zapracovat ve formě </w:t>
            </w:r>
            <w:proofErr w:type="spellStart"/>
            <w:r>
              <w:rPr>
                <w:sz w:val="20"/>
                <w:lang w:val="cs-CZ"/>
              </w:rPr>
              <w:t>premixu</w:t>
            </w:r>
            <w:proofErr w:type="spellEnd"/>
            <w:r>
              <w:rPr>
                <w:sz w:val="20"/>
                <w:lang w:val="cs-CZ"/>
              </w:rPr>
              <w:t>.</w:t>
            </w:r>
          </w:p>
          <w:p w14:paraId="38AA07E1" w14:textId="77777777" w:rsidR="00440CEC" w:rsidRDefault="00440CEC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3. Doplňková látka se nesmí míchat s jinými </w:t>
            </w:r>
            <w:proofErr w:type="spellStart"/>
            <w:r>
              <w:rPr>
                <w:sz w:val="20"/>
                <w:lang w:val="cs-CZ"/>
              </w:rPr>
              <w:t>kokcidiostatiky</w:t>
            </w:r>
            <w:proofErr w:type="spellEnd"/>
            <w:r>
              <w:rPr>
                <w:sz w:val="20"/>
                <w:lang w:val="cs-CZ"/>
              </w:rPr>
              <w:t>.</w:t>
            </w:r>
          </w:p>
          <w:p w14:paraId="6DFD04D3" w14:textId="72006F14" w:rsidR="00440CEC" w:rsidRDefault="00440CEC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4. Držitel povolení </w:t>
            </w:r>
            <w:r w:rsidR="009C37D6">
              <w:rPr>
                <w:sz w:val="20"/>
                <w:lang w:val="cs-CZ"/>
              </w:rPr>
              <w:t>provede</w:t>
            </w:r>
            <w:r>
              <w:rPr>
                <w:sz w:val="20"/>
                <w:lang w:val="cs-CZ"/>
              </w:rPr>
              <w:t xml:space="preserve"> programy monitorování po uvedení na trh, pokud jde o: </w:t>
            </w:r>
            <w:r w:rsidR="009C37D6">
              <w:rPr>
                <w:sz w:val="20"/>
                <w:lang w:val="cs-CZ"/>
              </w:rPr>
              <w:t>odolnost</w:t>
            </w:r>
            <w:r>
              <w:rPr>
                <w:sz w:val="20"/>
                <w:lang w:val="cs-CZ"/>
              </w:rPr>
              <w:t xml:space="preserve"> vůči bakteriím a </w:t>
            </w:r>
            <w:proofErr w:type="spellStart"/>
            <w:r>
              <w:rPr>
                <w:i/>
                <w:iCs/>
                <w:sz w:val="20"/>
                <w:lang w:val="cs-CZ"/>
              </w:rPr>
              <w:t>Eimeria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ssp</w:t>
            </w:r>
            <w:proofErr w:type="spellEnd"/>
            <w:r>
              <w:rPr>
                <w:sz w:val="20"/>
                <w:lang w:val="cs-CZ"/>
              </w:rPr>
              <w:t>.</w:t>
            </w:r>
          </w:p>
          <w:p w14:paraId="1EAEF470" w14:textId="68403AF4" w:rsidR="00440CEC" w:rsidRDefault="00440CEC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5. 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při 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vhodnými osobními ochrannými prostředky.</w:t>
            </w:r>
          </w:p>
          <w:p w14:paraId="38E421D0" w14:textId="77777777" w:rsidR="00440CEC" w:rsidRPr="00C710D4" w:rsidRDefault="00440CEC" w:rsidP="00FC25C9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F1FA16" w14:textId="3EF4CA93" w:rsidR="00440CEC" w:rsidRPr="00C2219F" w:rsidRDefault="00440CEC" w:rsidP="00FC25C9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20.12.2031</w:t>
            </w:r>
          </w:p>
        </w:tc>
      </w:tr>
    </w:tbl>
    <w:p w14:paraId="489DBD79" w14:textId="77777777" w:rsidR="002E13C7" w:rsidRDefault="00D208F9">
      <w:pPr>
        <w:spacing w:after="160" w:line="259" w:lineRule="auto"/>
        <w:rPr>
          <w:color w:val="000000"/>
          <w:szCs w:val="20"/>
          <w:lang w:val="cs-CZ"/>
        </w:rPr>
      </w:pPr>
      <w:r>
        <w:rPr>
          <w:color w:val="000000"/>
          <w:szCs w:val="20"/>
          <w:lang w:val="cs-CZ"/>
        </w:rPr>
        <w:br w:type="page"/>
      </w:r>
    </w:p>
    <w:tbl>
      <w:tblPr>
        <w:tblpPr w:leftFromText="141" w:rightFromText="141" w:horzAnchor="margin" w:tblpXSpec="center" w:tblpY="240"/>
        <w:tblW w:w="15021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134"/>
        <w:gridCol w:w="3827"/>
        <w:gridCol w:w="1134"/>
        <w:gridCol w:w="851"/>
        <w:gridCol w:w="992"/>
        <w:gridCol w:w="1134"/>
        <w:gridCol w:w="2835"/>
        <w:gridCol w:w="1134"/>
      </w:tblGrid>
      <w:tr w:rsidR="002E13C7" w:rsidRPr="00C2219F" w14:paraId="55187307" w14:textId="77777777" w:rsidTr="00FC25C9">
        <w:trPr>
          <w:cantSplit/>
          <w:trHeight w:val="63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7AB79A" w14:textId="77777777" w:rsidR="002E13C7" w:rsidRPr="00C2219F" w:rsidRDefault="002E13C7" w:rsidP="00FC25C9">
            <w:pPr>
              <w:pStyle w:val="Tabulka"/>
              <w:keepNext w:val="0"/>
              <w:keepLines w:val="0"/>
            </w:pPr>
            <w:r w:rsidRPr="00C2219F">
              <w:rPr>
                <w:color w:val="000000"/>
              </w:rPr>
              <w:lastRenderedPageBreak/>
              <w:br w:type="page"/>
            </w:r>
            <w:r>
              <w:t>IČ</w:t>
            </w:r>
            <w:r w:rsidRPr="00C2219F">
              <w:t xml:space="preserve"> </w:t>
            </w:r>
            <w:proofErr w:type="spellStart"/>
            <w:r w:rsidRPr="00C2219F">
              <w:t>doplňkové</w:t>
            </w:r>
            <w:proofErr w:type="spellEnd"/>
            <w:r w:rsidRPr="00C2219F">
              <w:t xml:space="preserve"> </w:t>
            </w:r>
            <w:proofErr w:type="spellStart"/>
            <w:r w:rsidRPr="00C2219F">
              <w:t>látky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E27753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085F9A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4748767B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F616DD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</w:t>
            </w:r>
            <w:r w:rsidRPr="00C2219F">
              <w:rPr>
                <w:sz w:val="20"/>
                <w:szCs w:val="20"/>
                <w:lang w:val="cs-CZ"/>
              </w:rPr>
              <w:t>hemický vzorec, popis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8D7EF62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0746F0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C221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453931D7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E39D7FA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C1F679D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D6CB0C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388379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2E13C7" w:rsidRPr="00C2219F" w14:paraId="2723B9E8" w14:textId="77777777" w:rsidTr="00FC25C9">
        <w:trPr>
          <w:cantSplit/>
          <w:trHeight w:val="20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01A49E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150968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16A39C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8F86CA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32DB88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C1CDCAD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4AC4BF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16A9C72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0078B6" w14:textId="77777777" w:rsidR="002E13C7" w:rsidRPr="00C2219F" w:rsidRDefault="002E13C7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2E13C7" w:rsidRPr="00C2219F" w14:paraId="39494FD6" w14:textId="77777777" w:rsidTr="00FC25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9FC051" w14:textId="4C888FE5" w:rsidR="002E13C7" w:rsidRPr="00C2219F" w:rsidRDefault="002E13C7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51756ii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A19E65" w14:textId="77777777" w:rsidR="002E13C7" w:rsidRPr="00C2219F" w:rsidRDefault="002E13C7" w:rsidP="00FC25C9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Zoetis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Belgium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4660A8" w14:textId="787BACC5" w:rsidR="002E13C7" w:rsidRPr="00C2219F" w:rsidRDefault="002E13C7" w:rsidP="00FC25C9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Dekochinát</w:t>
            </w:r>
            <w:proofErr w:type="spellEnd"/>
            <w:r>
              <w:rPr>
                <w:sz w:val="20"/>
                <w:lang w:val="cs-CZ"/>
              </w:rPr>
              <w:t xml:space="preserve"> (</w:t>
            </w:r>
            <w:proofErr w:type="spellStart"/>
            <w:r>
              <w:rPr>
                <w:sz w:val="20"/>
                <w:lang w:val="cs-CZ"/>
              </w:rPr>
              <w:t>Avi-Deccox</w:t>
            </w:r>
            <w:proofErr w:type="spellEnd"/>
            <w:r>
              <w:rPr>
                <w:sz w:val="20"/>
                <w:lang w:val="cs-CZ"/>
              </w:rPr>
              <w:t xml:space="preserve"> 60G)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6F050" w14:textId="77777777" w:rsidR="002E13C7" w:rsidRPr="00CD6C0E" w:rsidRDefault="002E13C7" w:rsidP="00FC25C9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Složení doplňkové látky:</w:t>
            </w:r>
          </w:p>
          <w:p w14:paraId="6C6DFA76" w14:textId="77777777" w:rsidR="002E13C7" w:rsidRDefault="002E13C7" w:rsidP="00FC25C9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Dekochinát</w:t>
            </w:r>
            <w:proofErr w:type="spellEnd"/>
            <w:r>
              <w:rPr>
                <w:sz w:val="20"/>
                <w:lang w:val="cs-CZ"/>
              </w:rPr>
              <w:t>: 60,0 g/kg</w:t>
            </w:r>
          </w:p>
          <w:p w14:paraId="5B00D965" w14:textId="2BE2F82A" w:rsidR="002E13C7" w:rsidRDefault="002E13C7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Oxid křemičitý koloidní: 0,6 g/kg</w:t>
            </w:r>
          </w:p>
          <w:p w14:paraId="3D573E99" w14:textId="18F57469" w:rsidR="003938F0" w:rsidRDefault="003938F0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Oxid křemičitý: 4,0 g/kg</w:t>
            </w:r>
          </w:p>
          <w:p w14:paraId="4AA0D474" w14:textId="331681E0" w:rsidR="002E13C7" w:rsidRDefault="00282EA1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Sodná sůl </w:t>
            </w:r>
            <w:proofErr w:type="spellStart"/>
            <w:r>
              <w:rPr>
                <w:sz w:val="20"/>
                <w:lang w:val="cs-CZ"/>
              </w:rPr>
              <w:t>karboxymethylcelulózy</w:t>
            </w:r>
            <w:proofErr w:type="spellEnd"/>
            <w:r>
              <w:rPr>
                <w:sz w:val="20"/>
                <w:lang w:val="cs-CZ"/>
              </w:rPr>
              <w:t>: 30,0 g/kg</w:t>
            </w:r>
          </w:p>
          <w:p w14:paraId="018137BC" w14:textId="4560C4B0" w:rsidR="00FA6CB2" w:rsidRDefault="00FA6CB2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Dihydrát síranu vápenatého: </w:t>
            </w:r>
            <w:proofErr w:type="spellStart"/>
            <w:r>
              <w:rPr>
                <w:sz w:val="20"/>
                <w:lang w:val="cs-CZ"/>
              </w:rPr>
              <w:t>q.s</w:t>
            </w:r>
            <w:proofErr w:type="spellEnd"/>
            <w:r>
              <w:rPr>
                <w:sz w:val="20"/>
                <w:lang w:val="cs-CZ"/>
              </w:rPr>
              <w:t>. ad 1000,0 g</w:t>
            </w:r>
          </w:p>
          <w:p w14:paraId="17033B0A" w14:textId="77777777" w:rsidR="002E13C7" w:rsidRDefault="002E13C7" w:rsidP="00FC25C9">
            <w:pPr>
              <w:rPr>
                <w:sz w:val="20"/>
                <w:lang w:val="cs-CZ"/>
              </w:rPr>
            </w:pPr>
          </w:p>
          <w:p w14:paraId="71FC9A63" w14:textId="77777777" w:rsidR="002E13C7" w:rsidRDefault="002E13C7" w:rsidP="00FC25C9">
            <w:pPr>
              <w:rPr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Charakteristika účinné látky:</w:t>
            </w:r>
          </w:p>
          <w:p w14:paraId="02BBCB2B" w14:textId="77777777" w:rsidR="002E13C7" w:rsidRDefault="002E13C7" w:rsidP="00FC25C9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Dekochinát</w:t>
            </w:r>
            <w:proofErr w:type="spellEnd"/>
          </w:p>
          <w:p w14:paraId="796DE631" w14:textId="77777777" w:rsidR="002E13C7" w:rsidRDefault="002E13C7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</w:t>
            </w:r>
            <w:r>
              <w:rPr>
                <w:sz w:val="20"/>
                <w:vertAlign w:val="subscript"/>
                <w:lang w:val="cs-CZ"/>
              </w:rPr>
              <w:t>24</w:t>
            </w:r>
            <w:r>
              <w:rPr>
                <w:sz w:val="20"/>
                <w:lang w:val="cs-CZ"/>
              </w:rPr>
              <w:t>H</w:t>
            </w:r>
            <w:r>
              <w:rPr>
                <w:sz w:val="20"/>
                <w:vertAlign w:val="subscript"/>
                <w:lang w:val="cs-CZ"/>
              </w:rPr>
              <w:t>35</w:t>
            </w:r>
            <w:r>
              <w:rPr>
                <w:sz w:val="20"/>
                <w:lang w:val="cs-CZ"/>
              </w:rPr>
              <w:t>NO</w:t>
            </w:r>
            <w:r>
              <w:rPr>
                <w:sz w:val="20"/>
                <w:vertAlign w:val="subscript"/>
                <w:lang w:val="cs-CZ"/>
              </w:rPr>
              <w:t xml:space="preserve">5 </w:t>
            </w:r>
          </w:p>
          <w:p w14:paraId="0824E124" w14:textId="77777777" w:rsidR="002E13C7" w:rsidRPr="00C920C5" w:rsidRDefault="002E13C7" w:rsidP="00FC25C9">
            <w:pPr>
              <w:rPr>
                <w:sz w:val="20"/>
              </w:rPr>
            </w:pPr>
            <w:proofErr w:type="spellStart"/>
            <w:r>
              <w:rPr>
                <w:sz w:val="20"/>
                <w:lang w:val="cs-CZ"/>
              </w:rPr>
              <w:t>Ethyl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gramStart"/>
            <w:r>
              <w:rPr>
                <w:sz w:val="20"/>
                <w:lang w:val="cs-CZ"/>
              </w:rPr>
              <w:t>6-decykloxy</w:t>
            </w:r>
            <w:proofErr w:type="gramEnd"/>
            <w:r>
              <w:rPr>
                <w:sz w:val="20"/>
                <w:lang w:val="cs-CZ"/>
              </w:rPr>
              <w:t>-7-ethoxy-4-hydroxychinolin-3-karboxylát</w:t>
            </w:r>
          </w:p>
          <w:p w14:paraId="09DDC586" w14:textId="77777777" w:rsidR="002E13C7" w:rsidRDefault="002E13C7" w:rsidP="00FC25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CAS: 18507-89-6</w:t>
            </w:r>
          </w:p>
          <w:p w14:paraId="1BEF55F0" w14:textId="77777777" w:rsidR="002E13C7" w:rsidRDefault="002E13C7" w:rsidP="00FC25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Související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nečistoty</w:t>
            </w:r>
            <w:proofErr w:type="spellEnd"/>
            <w:r>
              <w:rPr>
                <w:sz w:val="20"/>
              </w:rPr>
              <w:t xml:space="preserve">: </w:t>
            </w:r>
          </w:p>
          <w:p w14:paraId="47C08AC4" w14:textId="7517924C" w:rsidR="002E13C7" w:rsidRDefault="002E13C7" w:rsidP="00FC25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kyselina</w:t>
            </w:r>
            <w:proofErr w:type="spellEnd"/>
            <w:r>
              <w:rPr>
                <w:sz w:val="20"/>
              </w:rPr>
              <w:t xml:space="preserve"> 6-decykloxy-7-ethoxy-4-hydroxychinolin-3-karboxylová: &lt; 0,5%</w:t>
            </w:r>
          </w:p>
          <w:p w14:paraId="40984BFB" w14:textId="31ED3BB0" w:rsidR="002E13C7" w:rsidRDefault="002E13C7" w:rsidP="00FC25C9">
            <w:pPr>
              <w:rPr>
                <w:sz w:val="20"/>
              </w:rPr>
            </w:pPr>
            <w:r w:rsidRPr="003B3076">
              <w:rPr>
                <w:sz w:val="20"/>
              </w:rPr>
              <w:t>methyl-6-</w:t>
            </w:r>
            <w:r>
              <w:rPr>
                <w:sz w:val="20"/>
              </w:rPr>
              <w:t>decykloxy-7-ethoxy-4-hydroxychinolin-3-karboxylát: &lt; 1,0%</w:t>
            </w:r>
          </w:p>
          <w:p w14:paraId="2DA7C0AA" w14:textId="77777777" w:rsidR="002E13C7" w:rsidRDefault="002E13C7" w:rsidP="00FC25C9">
            <w:pPr>
              <w:rPr>
                <w:sz w:val="20"/>
              </w:rPr>
            </w:pPr>
            <w:r>
              <w:rPr>
                <w:sz w:val="20"/>
              </w:rPr>
              <w:t>diethyl 4-decykloxy-3-ethoxyanilinmethylenmalonát (</w:t>
            </w:r>
            <w:proofErr w:type="spellStart"/>
            <w:r>
              <w:rPr>
                <w:sz w:val="20"/>
              </w:rPr>
              <w:t>sloučenina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anilinu</w:t>
            </w:r>
            <w:proofErr w:type="spellEnd"/>
            <w:r>
              <w:rPr>
                <w:sz w:val="20"/>
              </w:rPr>
              <w:t>) &lt; 0,5%</w:t>
            </w:r>
          </w:p>
          <w:p w14:paraId="1797037D" w14:textId="77777777" w:rsidR="002E13C7" w:rsidRPr="003B3076" w:rsidRDefault="002E13C7" w:rsidP="00FC25C9">
            <w:pPr>
              <w:rPr>
                <w:sz w:val="20"/>
              </w:rPr>
            </w:pPr>
          </w:p>
          <w:p w14:paraId="176DA210" w14:textId="77777777" w:rsidR="002E13C7" w:rsidRDefault="002E13C7" w:rsidP="00FC25C9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Analytická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metoda</w:t>
            </w:r>
            <w:proofErr w:type="spellEnd"/>
            <w:r>
              <w:rPr>
                <w:b/>
                <w:bCs/>
                <w:sz w:val="20"/>
              </w:rPr>
              <w:t>**:</w:t>
            </w:r>
          </w:p>
          <w:p w14:paraId="63EEF682" w14:textId="77777777" w:rsidR="002E13C7" w:rsidRDefault="002E13C7" w:rsidP="00FC25C9">
            <w:pPr>
              <w:rPr>
                <w:sz w:val="20"/>
              </w:rPr>
            </w:pPr>
            <w:r>
              <w:rPr>
                <w:sz w:val="20"/>
              </w:rPr>
              <w:t xml:space="preserve">Pro </w:t>
            </w:r>
            <w:proofErr w:type="spellStart"/>
            <w:r>
              <w:rPr>
                <w:sz w:val="20"/>
              </w:rPr>
              <w:t>stanovení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dekochinát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doplňkové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premixech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krmivech</w:t>
            </w:r>
            <w:proofErr w:type="spellEnd"/>
            <w:r>
              <w:rPr>
                <w:sz w:val="20"/>
              </w:rPr>
              <w:t>:</w:t>
            </w:r>
          </w:p>
          <w:p w14:paraId="6173C9FE" w14:textId="77777777" w:rsidR="002E13C7" w:rsidRPr="008A1678" w:rsidRDefault="002E13C7" w:rsidP="00FC25C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vysokoúčinná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kapalinová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chromatografie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reverzní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fázi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fluorescenční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detekcí</w:t>
            </w:r>
            <w:proofErr w:type="spellEnd"/>
            <w:r>
              <w:rPr>
                <w:sz w:val="20"/>
              </w:rPr>
              <w:t xml:space="preserve"> (RP-HPLC-FL) – EN 16162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18FD46" w14:textId="668D3002" w:rsidR="002E13C7" w:rsidRPr="008A1678" w:rsidRDefault="002E13C7" w:rsidP="00FC25C9">
            <w:pPr>
              <w:rPr>
                <w:sz w:val="20"/>
                <w:vertAlign w:val="superscript"/>
                <w:lang w:val="cs-CZ"/>
              </w:rPr>
            </w:pPr>
            <w:r w:rsidRPr="008A1678">
              <w:rPr>
                <w:sz w:val="20"/>
                <w:lang w:val="cs-CZ"/>
              </w:rPr>
              <w:t>Výkrm</w:t>
            </w:r>
            <w:r>
              <w:rPr>
                <w:sz w:val="20"/>
                <w:lang w:val="cs-CZ"/>
              </w:rPr>
              <w:t xml:space="preserve"> kuřat </w:t>
            </w:r>
            <w:r>
              <w:rPr>
                <w:sz w:val="20"/>
                <w:vertAlign w:val="superscript"/>
                <w:lang w:val="cs-CZ"/>
              </w:rPr>
              <w:t>6</w:t>
            </w:r>
            <w:r w:rsidR="005215D3">
              <w:rPr>
                <w:sz w:val="20"/>
                <w:vertAlign w:val="superscript"/>
                <w:lang w:val="cs-CZ"/>
              </w:rPr>
              <w:t>2</w:t>
            </w:r>
            <w:r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B944C5" w14:textId="77777777" w:rsidR="002E13C7" w:rsidRPr="00C2219F" w:rsidRDefault="002E13C7" w:rsidP="00FC25C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8FE0FA" w14:textId="77777777" w:rsidR="002E13C7" w:rsidRPr="00C2219F" w:rsidRDefault="002E13C7" w:rsidP="00FC25C9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B6C57E" w14:textId="77777777" w:rsidR="002E13C7" w:rsidRPr="00C2219F" w:rsidRDefault="002E13C7" w:rsidP="00FC25C9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C33131" w14:textId="77777777" w:rsidR="002E13C7" w:rsidRPr="008A1678" w:rsidRDefault="002E13C7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být uvedeny podmínky skladování a stabilita při tepelném ošetření.</w:t>
            </w:r>
          </w:p>
          <w:p w14:paraId="6442E40A" w14:textId="77777777" w:rsidR="002E13C7" w:rsidRDefault="002E13C7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2. Doplňková látka se do krmné směsi musí zapracovat ve formě </w:t>
            </w:r>
            <w:proofErr w:type="spellStart"/>
            <w:r>
              <w:rPr>
                <w:sz w:val="20"/>
                <w:lang w:val="cs-CZ"/>
              </w:rPr>
              <w:t>premixu</w:t>
            </w:r>
            <w:proofErr w:type="spellEnd"/>
            <w:r>
              <w:rPr>
                <w:sz w:val="20"/>
                <w:lang w:val="cs-CZ"/>
              </w:rPr>
              <w:t>.</w:t>
            </w:r>
          </w:p>
          <w:p w14:paraId="75333928" w14:textId="77777777" w:rsidR="002E13C7" w:rsidRDefault="002E13C7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3. Doplňková látka se nesmí míchat s jinými </w:t>
            </w:r>
            <w:proofErr w:type="spellStart"/>
            <w:r>
              <w:rPr>
                <w:sz w:val="20"/>
                <w:lang w:val="cs-CZ"/>
              </w:rPr>
              <w:t>kokcidiostatiky</w:t>
            </w:r>
            <w:proofErr w:type="spellEnd"/>
            <w:r>
              <w:rPr>
                <w:sz w:val="20"/>
                <w:lang w:val="cs-CZ"/>
              </w:rPr>
              <w:t>.</w:t>
            </w:r>
          </w:p>
          <w:p w14:paraId="4924B874" w14:textId="77777777" w:rsidR="002E13C7" w:rsidRDefault="002E13C7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4. Držitel povolení provede programy monitorování po uvedení na trh, pokud jde o: odolnost vůči bakteriím a </w:t>
            </w:r>
            <w:proofErr w:type="spellStart"/>
            <w:r>
              <w:rPr>
                <w:i/>
                <w:iCs/>
                <w:sz w:val="20"/>
                <w:lang w:val="cs-CZ"/>
              </w:rPr>
              <w:t>Eimeria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ssp</w:t>
            </w:r>
            <w:proofErr w:type="spellEnd"/>
            <w:r>
              <w:rPr>
                <w:sz w:val="20"/>
                <w:lang w:val="cs-CZ"/>
              </w:rPr>
              <w:t>.</w:t>
            </w:r>
          </w:p>
          <w:p w14:paraId="20C51CF9" w14:textId="77777777" w:rsidR="002E13C7" w:rsidRDefault="002E13C7" w:rsidP="00FC25C9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5. 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při 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vhodnými osobními ochrannými prostředky.</w:t>
            </w:r>
          </w:p>
          <w:p w14:paraId="44F54656" w14:textId="77777777" w:rsidR="002E13C7" w:rsidRPr="00C710D4" w:rsidRDefault="002E13C7" w:rsidP="00FC25C9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982ED5" w14:textId="77777777" w:rsidR="002E13C7" w:rsidRPr="00C2219F" w:rsidRDefault="002E13C7" w:rsidP="00FC25C9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20.12.2031</w:t>
            </w:r>
          </w:p>
        </w:tc>
      </w:tr>
    </w:tbl>
    <w:p w14:paraId="156B60CE" w14:textId="3A89841A" w:rsidR="00D208F9" w:rsidRDefault="002E13C7">
      <w:pPr>
        <w:spacing w:after="160" w:line="259" w:lineRule="auto"/>
        <w:rPr>
          <w:color w:val="000000"/>
          <w:szCs w:val="20"/>
          <w:lang w:val="cs-CZ"/>
        </w:rPr>
      </w:pPr>
      <w:r>
        <w:rPr>
          <w:color w:val="000000"/>
          <w:szCs w:val="20"/>
          <w:lang w:val="cs-CZ"/>
        </w:rPr>
        <w:br w:type="page"/>
      </w:r>
    </w:p>
    <w:p w14:paraId="33F866EF" w14:textId="77777777" w:rsidR="001C0150" w:rsidRDefault="001C0150">
      <w:pPr>
        <w:spacing w:after="160" w:line="259" w:lineRule="auto"/>
        <w:rPr>
          <w:color w:val="000000"/>
          <w:sz w:val="20"/>
          <w:szCs w:val="20"/>
          <w:lang w:val="cs-CZ"/>
        </w:rPr>
      </w:pP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276"/>
        <w:gridCol w:w="3335"/>
        <w:gridCol w:w="917"/>
        <w:gridCol w:w="709"/>
        <w:gridCol w:w="992"/>
        <w:gridCol w:w="1134"/>
        <w:gridCol w:w="2268"/>
        <w:gridCol w:w="992"/>
        <w:gridCol w:w="1610"/>
      </w:tblGrid>
      <w:tr w:rsidR="001C0150" w:rsidRPr="00233746" w14:paraId="362343E4" w14:textId="77777777" w:rsidTr="00CD6C0E">
        <w:trPr>
          <w:cantSplit/>
          <w:trHeight w:val="63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554B15" w14:textId="77777777" w:rsidR="001C0150" w:rsidRPr="00233746" w:rsidRDefault="001C0150" w:rsidP="00CD6C0E">
            <w:pPr>
              <w:pStyle w:val="Tabulka"/>
              <w:keepNext w:val="0"/>
              <w:keepLines w:val="0"/>
              <w:rPr>
                <w:lang w:val="cs-CZ"/>
              </w:rPr>
            </w:pPr>
            <w:bookmarkStart w:id="0" w:name="_Hlk41313771"/>
            <w:r w:rsidRPr="00233746">
              <w:rPr>
                <w:color w:val="000000"/>
                <w:lang w:val="cs-CZ"/>
              </w:rPr>
              <w:br w:type="page"/>
            </w:r>
            <w:r w:rsidRPr="00233746">
              <w:rPr>
                <w:lang w:val="cs-CZ"/>
              </w:rPr>
              <w:t>I</w:t>
            </w:r>
            <w:r>
              <w:rPr>
                <w:lang w:val="cs-CZ"/>
              </w:rPr>
              <w:t>Č;</w:t>
            </w:r>
            <w:r w:rsidRPr="00233746">
              <w:rPr>
                <w:lang w:val="cs-CZ"/>
              </w:rPr>
              <w:t xml:space="preserve"> doplňkové látky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2E1C4D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F008E3E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Doplňková látka</w:t>
            </w:r>
          </w:p>
          <w:p w14:paraId="735D92F3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DB577B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4B7F667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74BCC4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197A5B89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6165052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1140596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2718A2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E8C579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C8125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1C0150" w:rsidRPr="00233746" w14:paraId="3F457D97" w14:textId="77777777" w:rsidTr="00CD6C0E">
        <w:trPr>
          <w:cantSplit/>
          <w:trHeight w:val="20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F0630D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14A403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8E5136E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3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275BF9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C00206C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E89537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B151D9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19DB6D7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7C3B1C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550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</w:p>
        </w:tc>
      </w:tr>
      <w:tr w:rsidR="001C0150" w:rsidRPr="00233746" w14:paraId="2DF52243" w14:textId="77777777" w:rsidTr="00CD6C0E">
        <w:trPr>
          <w:trHeight w:val="65"/>
          <w:tblHeader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EFE9B0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E4EAFD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17D4E2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34ECE5F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4FFE69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4DFCB33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834130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68AA3A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573A1A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5CD8C7" w14:textId="77777777" w:rsidR="001C0150" w:rsidRPr="00233746" w:rsidRDefault="001C0150" w:rsidP="00CD6C0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10</w:t>
            </w:r>
          </w:p>
        </w:tc>
      </w:tr>
      <w:tr w:rsidR="001C0150" w:rsidRPr="00233746" w14:paraId="2E734651" w14:textId="77777777" w:rsidTr="005D7ED3">
        <w:trPr>
          <w:trHeight w:val="27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0302142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5 1 758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178AE4E" w14:textId="77777777" w:rsidR="001C0150" w:rsidRPr="00233746" w:rsidRDefault="001C0150" w:rsidP="00CD6C0E">
            <w:pPr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233746">
              <w:rPr>
                <w:sz w:val="20"/>
                <w:szCs w:val="20"/>
                <w:lang w:val="cs-CZ"/>
              </w:rPr>
              <w:t>Zoetis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Belgium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SA  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48), 51)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C3AB32" w14:textId="6F76A3C0" w:rsidR="001C0150" w:rsidRPr="008A421C" w:rsidRDefault="001C0150" w:rsidP="00CD6C0E">
            <w:pPr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233746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hydrochlorid 66 g/kg </w:t>
            </w:r>
            <w:r>
              <w:rPr>
                <w:sz w:val="20"/>
                <w:szCs w:val="20"/>
                <w:lang w:val="cs-CZ"/>
              </w:rPr>
              <w:t>(</w:t>
            </w:r>
            <w:proofErr w:type="spellStart"/>
            <w:r w:rsidR="00D8257A">
              <w:rPr>
                <w:sz w:val="20"/>
                <w:szCs w:val="20"/>
                <w:lang w:val="cs-CZ"/>
              </w:rPr>
              <w:t>Cy</w:t>
            </w:r>
            <w:r w:rsidR="005E7070">
              <w:rPr>
                <w:sz w:val="20"/>
                <w:szCs w:val="20"/>
                <w:lang w:val="cs-CZ"/>
              </w:rPr>
              <w:t>c</w:t>
            </w:r>
            <w:r w:rsidR="00D8257A">
              <w:rPr>
                <w:sz w:val="20"/>
                <w:szCs w:val="20"/>
                <w:lang w:val="cs-CZ"/>
              </w:rPr>
              <w:t>ostat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66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233746">
              <w:rPr>
                <w:sz w:val="20"/>
                <w:szCs w:val="20"/>
                <w:lang w:val="cs-CZ"/>
              </w:rPr>
              <w:t>G)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48)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68B743B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Složení doplňkové látky</w:t>
            </w:r>
            <w:r w:rsidRPr="00233746">
              <w:rPr>
                <w:sz w:val="20"/>
                <w:szCs w:val="20"/>
                <w:lang w:val="cs-CZ"/>
              </w:rPr>
              <w:t xml:space="preserve"> </w:t>
            </w:r>
          </w:p>
          <w:p w14:paraId="0EF6D7D3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</w:p>
          <w:p w14:paraId="2EC26BB5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  <w:proofErr w:type="spellStart"/>
            <w:r w:rsidRPr="00233746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hydrochlorid: 66 g/kg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lignosulfonát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: 40 g/kg dihydrát síranu vápenatého: 894 g/kg </w:t>
            </w:r>
            <w:r w:rsidRPr="00233746">
              <w:rPr>
                <w:b/>
                <w:sz w:val="20"/>
                <w:szCs w:val="20"/>
                <w:lang w:val="cs-CZ"/>
              </w:rPr>
              <w:t>Účinná látka</w:t>
            </w:r>
            <w:r w:rsidRPr="00233746">
              <w:rPr>
                <w:sz w:val="20"/>
                <w:szCs w:val="20"/>
                <w:lang w:val="cs-CZ"/>
              </w:rPr>
              <w:t xml:space="preserve"> </w:t>
            </w:r>
          </w:p>
          <w:p w14:paraId="73AABF1D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</w:p>
          <w:p w14:paraId="7872BCDC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  <w:proofErr w:type="spellStart"/>
            <w:r w:rsidRPr="00233746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hydrochlorid, C 15H 13Cl 2N 5.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HCl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>, číslo CAS: 25875-50-7, 1,3-bis[(4-</w:t>
            </w:r>
            <w:proofErr w:type="gramStart"/>
            <w:r w:rsidRPr="00233746">
              <w:rPr>
                <w:sz w:val="20"/>
                <w:szCs w:val="20"/>
                <w:lang w:val="cs-CZ"/>
              </w:rPr>
              <w:t>chlorbenzyliden)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amino</w:t>
            </w:r>
            <w:proofErr w:type="spellEnd"/>
            <w:proofErr w:type="gramEnd"/>
            <w:r w:rsidRPr="00233746">
              <w:rPr>
                <w:sz w:val="20"/>
                <w:szCs w:val="20"/>
                <w:lang w:val="cs-CZ"/>
              </w:rPr>
              <w:t xml:space="preserve">]guanidin-hydrochlorid: &gt; 97 % </w:t>
            </w:r>
          </w:p>
          <w:p w14:paraId="64C4318A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</w:p>
          <w:p w14:paraId="55AD7172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Přidružené nečistoty:</w:t>
            </w:r>
            <w:r w:rsidRPr="00233746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Pr="00233746">
              <w:rPr>
                <w:sz w:val="20"/>
                <w:szCs w:val="20"/>
                <w:lang w:val="cs-CZ"/>
              </w:rPr>
              <w:t>N,N</w:t>
            </w:r>
            <w:proofErr w:type="gramEnd"/>
            <w:r w:rsidRPr="00233746">
              <w:rPr>
                <w:sz w:val="20"/>
                <w:szCs w:val="20"/>
                <w:lang w:val="cs-CZ"/>
              </w:rPr>
              <w:t>’,N”-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Tris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>[(p-Cl-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benzyliden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>)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amino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]guanidin (TRIS): ≤ 0,5 % bis-4[4-Cl-benzyliden]hydrazin (AZIN): ≤ 0,5 % </w:t>
            </w:r>
          </w:p>
          <w:p w14:paraId="79E5F4FB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</w:p>
          <w:p w14:paraId="05F447D5" w14:textId="77777777" w:rsidR="001C0150" w:rsidRPr="00233746" w:rsidRDefault="001C0150" w:rsidP="00CD6C0E">
            <w:pPr>
              <w:rPr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Analytické metody</w:t>
            </w:r>
            <w:r w:rsidRPr="00233746">
              <w:rPr>
                <w:sz w:val="20"/>
                <w:szCs w:val="20"/>
                <w:lang w:val="cs-CZ"/>
              </w:rPr>
              <w:t xml:space="preserve"> (</w:t>
            </w:r>
            <w:proofErr w:type="gramStart"/>
            <w:r w:rsidRPr="00233746">
              <w:rPr>
                <w:sz w:val="20"/>
                <w:szCs w:val="20"/>
                <w:lang w:val="cs-CZ"/>
              </w:rPr>
              <w:t>* )</w:t>
            </w:r>
            <w:proofErr w:type="gramEnd"/>
            <w:r w:rsidRPr="00233746">
              <w:rPr>
                <w:sz w:val="20"/>
                <w:szCs w:val="20"/>
                <w:lang w:val="cs-CZ"/>
              </w:rPr>
              <w:t xml:space="preserve"> Stanovení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robenidinu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hydrochloridu v krmivech: vysokoúčinná kapalinová chromatografie na reverzní fázi s UV spektrometrií (HPLC/UV) v souladu s metodou E v příloze IV nařízení Komise (ES) č. 152/2009 (** ).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7747998" w14:textId="77777777" w:rsidR="001C0150" w:rsidRPr="00233746" w:rsidRDefault="001C0150" w:rsidP="00CD6C0E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chovní králíci </w:t>
            </w:r>
            <w:r>
              <w:rPr>
                <w:sz w:val="20"/>
                <w:szCs w:val="20"/>
                <w:vertAlign w:val="superscript"/>
                <w:lang w:val="cs-CZ"/>
              </w:rPr>
              <w:t>43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A696D13" w14:textId="77777777" w:rsidR="001C0150" w:rsidRPr="00233746" w:rsidRDefault="001C0150" w:rsidP="00CD6C0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233746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8A35DC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412F76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DC682FB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1. Doplňková látka se do krmné směsi musí zapracovat ve formě</w:t>
            </w:r>
          </w:p>
          <w:p w14:paraId="339BAB1B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lang w:val="cs-CZ"/>
              </w:rPr>
            </w:pPr>
            <w:proofErr w:type="spellStart"/>
            <w:r w:rsidRPr="00233746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. </w:t>
            </w:r>
          </w:p>
          <w:p w14:paraId="75FFEF11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2.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hydrochlorid se nesmí míchat s jinými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kokcidiostatiky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. </w:t>
            </w:r>
          </w:p>
          <w:p w14:paraId="76834B38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3. Bezpečnost: během manipulace se musí používat prostředky k ochraně dýchacích cest a bezpečnostní brýle a rukavice. </w:t>
            </w:r>
          </w:p>
          <w:p w14:paraId="25E9A0DA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4. Držitel povolení naplánuje a provede program monitorování po uvedení na trh ohledně odolnosti vůči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Eimeria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spp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. </w:t>
            </w:r>
          </w:p>
          <w:p w14:paraId="0ECC8844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5. Zakázáno podávání nejméně 5 dní před porážkou.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7944D9A" w14:textId="77777777" w:rsidR="001C0150" w:rsidRPr="00233746" w:rsidRDefault="001C0150" w:rsidP="00CD6C0E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21.6.2021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71EFEC" w14:textId="77777777" w:rsidR="001C0150" w:rsidRPr="00233746" w:rsidRDefault="001C0150" w:rsidP="00CD6C0E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233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233746">
              <w:rPr>
                <w:rFonts w:ascii="Times New Roman" w:hAnsi="Times New Roman"/>
                <w:sz w:val="20"/>
                <w:szCs w:val="20"/>
              </w:rPr>
              <w:t xml:space="preserve">/kg </w:t>
            </w:r>
            <w:proofErr w:type="spellStart"/>
            <w:r w:rsidRPr="00233746">
              <w:rPr>
                <w:rFonts w:ascii="Times New Roman" w:hAnsi="Times New Roman"/>
                <w:sz w:val="20"/>
                <w:szCs w:val="20"/>
              </w:rPr>
              <w:t>ját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 syrovém stavu</w:t>
            </w:r>
          </w:p>
          <w:p w14:paraId="010E2EEB" w14:textId="77777777" w:rsidR="001C0150" w:rsidRDefault="001C0150" w:rsidP="00CD6C0E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233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233746">
              <w:rPr>
                <w:rFonts w:ascii="Times New Roman" w:hAnsi="Times New Roman"/>
                <w:sz w:val="20"/>
                <w:szCs w:val="20"/>
              </w:rPr>
              <w:t xml:space="preserve">/kg </w:t>
            </w:r>
            <w:r>
              <w:rPr>
                <w:rFonts w:ascii="Times New Roman" w:hAnsi="Times New Roman"/>
                <w:sz w:val="20"/>
                <w:szCs w:val="20"/>
              </w:rPr>
              <w:t>ledvin v syrovém stavu</w:t>
            </w:r>
          </w:p>
          <w:p w14:paraId="182A9C5B" w14:textId="77777777" w:rsidR="001C0150" w:rsidRDefault="001C0150" w:rsidP="00CD6C0E">
            <w:pPr>
              <w:pStyle w:val="Default"/>
              <w:rPr>
                <w:sz w:val="20"/>
                <w:szCs w:val="20"/>
              </w:rPr>
            </w:pPr>
            <w:r w:rsidRPr="00D156D5">
              <w:rPr>
                <w:sz w:val="20"/>
                <w:szCs w:val="20"/>
              </w:rPr>
              <w:t>200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μg</w:t>
            </w:r>
            <w:proofErr w:type="spellEnd"/>
            <w:r w:rsidRPr="00233746">
              <w:rPr>
                <w:sz w:val="20"/>
                <w:szCs w:val="20"/>
              </w:rPr>
              <w:t>/kg</w:t>
            </w:r>
            <w:r>
              <w:rPr>
                <w:sz w:val="20"/>
                <w:szCs w:val="20"/>
              </w:rPr>
              <w:t xml:space="preserve"> svaloviny v syrovém stavu</w:t>
            </w:r>
          </w:p>
          <w:p w14:paraId="35BCFE44" w14:textId="77777777" w:rsidR="001C0150" w:rsidRPr="00D156D5" w:rsidRDefault="001C0150" w:rsidP="00CD6C0E">
            <w:pPr>
              <w:pStyle w:val="Default"/>
              <w:rPr>
                <w:vertAlign w:val="superscript"/>
              </w:rPr>
            </w:pPr>
            <w:r>
              <w:rPr>
                <w:sz w:val="20"/>
                <w:szCs w:val="20"/>
              </w:rPr>
              <w:t>1300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μg</w:t>
            </w:r>
            <w:proofErr w:type="spellEnd"/>
            <w:r w:rsidRPr="00233746">
              <w:rPr>
                <w:sz w:val="20"/>
                <w:szCs w:val="20"/>
              </w:rPr>
              <w:t>/kg</w:t>
            </w:r>
            <w:r>
              <w:rPr>
                <w:sz w:val="20"/>
                <w:szCs w:val="20"/>
              </w:rPr>
              <w:t xml:space="preserve"> kůže/tuku v syrovém stavu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</w:tr>
      <w:tr w:rsidR="00514F08" w:rsidRPr="00233746" w14:paraId="4312A0C2" w14:textId="77777777" w:rsidTr="005D7ED3">
        <w:trPr>
          <w:trHeight w:val="27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3BBC5EE" w14:textId="77777777" w:rsidR="00514F08" w:rsidRPr="00233746" w:rsidRDefault="00514F08" w:rsidP="00CD6C0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A4F59B" w14:textId="77777777" w:rsidR="00514F08" w:rsidRPr="00233746" w:rsidRDefault="00514F08" w:rsidP="00CD6C0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6F1359" w14:textId="77777777" w:rsidR="00514F08" w:rsidRPr="00233746" w:rsidRDefault="00514F08" w:rsidP="00CD6C0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4462794" w14:textId="77777777" w:rsidR="00514F08" w:rsidRPr="00233746" w:rsidRDefault="00514F08" w:rsidP="00CD6C0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2694856" w14:textId="77777777" w:rsidR="00514F08" w:rsidRPr="00233746" w:rsidRDefault="00514F08" w:rsidP="00CD6C0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C08D08D" w14:textId="77777777" w:rsidR="00514F08" w:rsidRPr="00233746" w:rsidRDefault="00514F08" w:rsidP="00CD6C0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358BBC" w14:textId="77777777" w:rsidR="00514F08" w:rsidRPr="00233746" w:rsidRDefault="00514F08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63E9551" w14:textId="77777777" w:rsidR="00514F08" w:rsidRPr="00233746" w:rsidRDefault="00514F08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F34573" w14:textId="77777777" w:rsidR="00514F08" w:rsidRPr="00233746" w:rsidRDefault="00514F08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4BC44E3" w14:textId="77777777" w:rsidR="00514F08" w:rsidRPr="00233746" w:rsidRDefault="00514F08" w:rsidP="00CD6C0E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AB98D3" w14:textId="77777777" w:rsidR="00514F08" w:rsidRDefault="00514F08" w:rsidP="00CD6C0E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50" w:rsidRPr="00233746" w14:paraId="219B5FB8" w14:textId="77777777" w:rsidTr="004010A2">
        <w:trPr>
          <w:trHeight w:val="2760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5D57DC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0062DE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DDD794" w14:textId="77777777" w:rsidR="001C0150" w:rsidRPr="00233746" w:rsidRDefault="001C0150" w:rsidP="00CD6C0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44F91" w14:textId="77777777" w:rsidR="001C0150" w:rsidRPr="00233746" w:rsidRDefault="001C0150" w:rsidP="00CD6C0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8D1875" w14:textId="77777777" w:rsidR="001C0150" w:rsidRPr="00233746" w:rsidRDefault="001C0150" w:rsidP="00CD6C0E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výkrm králíku </w:t>
            </w:r>
            <w:r>
              <w:rPr>
                <w:sz w:val="20"/>
                <w:szCs w:val="20"/>
                <w:vertAlign w:val="superscript"/>
                <w:lang w:val="cs-CZ"/>
              </w:rPr>
              <w:t>43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2F035D7" w14:textId="77777777" w:rsidR="001C0150" w:rsidRPr="00233746" w:rsidRDefault="001C0150" w:rsidP="00CD6C0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233746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4E6454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E6BC195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66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EE4D84" w14:textId="77777777" w:rsidR="001C0150" w:rsidRPr="00233746" w:rsidRDefault="001C0150" w:rsidP="00CD6C0E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20995E" w14:textId="77777777" w:rsidR="001C0150" w:rsidRPr="00233746" w:rsidRDefault="001C0150" w:rsidP="00CD6C0E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21.6.2021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60A891E0" w14:textId="77777777" w:rsidR="001C0150" w:rsidRDefault="001C0150" w:rsidP="00CD6C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  <w:proofErr w:type="spellStart"/>
            <w:r w:rsidRPr="00233746">
              <w:rPr>
                <w:sz w:val="20"/>
                <w:szCs w:val="20"/>
              </w:rPr>
              <w:t>μg</w:t>
            </w:r>
            <w:proofErr w:type="spellEnd"/>
            <w:r w:rsidRPr="00233746">
              <w:rPr>
                <w:sz w:val="20"/>
                <w:szCs w:val="20"/>
              </w:rPr>
              <w:t>/kg</w:t>
            </w:r>
            <w:r>
              <w:rPr>
                <w:sz w:val="20"/>
                <w:szCs w:val="20"/>
              </w:rPr>
              <w:t xml:space="preserve"> kůže/tuku v syrovém stavu</w:t>
            </w:r>
          </w:p>
          <w:p w14:paraId="3DF11957" w14:textId="77777777" w:rsidR="001C0150" w:rsidRDefault="001C0150" w:rsidP="00CD6C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  <w:proofErr w:type="spellStart"/>
            <w:r w:rsidRPr="00233746">
              <w:rPr>
                <w:sz w:val="20"/>
                <w:szCs w:val="20"/>
              </w:rPr>
              <w:t>μg</w:t>
            </w:r>
            <w:proofErr w:type="spellEnd"/>
            <w:r w:rsidRPr="00233746">
              <w:rPr>
                <w:sz w:val="20"/>
                <w:szCs w:val="20"/>
              </w:rPr>
              <w:t>/kg</w:t>
            </w:r>
            <w:r>
              <w:rPr>
                <w:sz w:val="20"/>
                <w:szCs w:val="20"/>
              </w:rPr>
              <w:t xml:space="preserve"> jater v syrovém stavu</w:t>
            </w:r>
          </w:p>
          <w:p w14:paraId="6565E5B6" w14:textId="77777777" w:rsidR="001C0150" w:rsidRDefault="001C0150" w:rsidP="00CD6C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233746">
              <w:rPr>
                <w:sz w:val="20"/>
                <w:szCs w:val="20"/>
              </w:rPr>
              <w:t>μg</w:t>
            </w:r>
            <w:proofErr w:type="spellEnd"/>
            <w:r w:rsidRPr="00233746">
              <w:rPr>
                <w:sz w:val="20"/>
                <w:szCs w:val="20"/>
              </w:rPr>
              <w:t>/kg</w:t>
            </w:r>
            <w:r>
              <w:rPr>
                <w:sz w:val="20"/>
                <w:szCs w:val="20"/>
              </w:rPr>
              <w:t xml:space="preserve"> ledvin v syrovém stavu</w:t>
            </w:r>
          </w:p>
          <w:p w14:paraId="112A5F6C" w14:textId="77777777" w:rsidR="001C0150" w:rsidRPr="00D156D5" w:rsidRDefault="001C0150" w:rsidP="00CD6C0E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200 svaloviny v syrovém stavu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</w:tr>
      <w:tr w:rsidR="00A762AA" w:rsidRPr="00A762AA" w14:paraId="55ED22FE" w14:textId="77777777" w:rsidTr="00431ABC">
        <w:trPr>
          <w:trHeight w:val="1548"/>
        </w:trPr>
        <w:tc>
          <w:tcPr>
            <w:tcW w:w="152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28D7CD" w14:textId="02E5DA9F" w:rsidR="004010A2" w:rsidRPr="009913CB" w:rsidRDefault="004010A2" w:rsidP="009913CB">
            <w:pPr>
              <w:pStyle w:val="Odstavecseseznamem"/>
              <w:numPr>
                <w:ilvl w:val="0"/>
                <w:numId w:val="24"/>
              </w:numPr>
              <w:rPr>
                <w:noProof/>
                <w:color w:val="FF0000"/>
                <w:lang w:val="cs-CZ"/>
              </w:rPr>
            </w:pPr>
            <w:r w:rsidRPr="009913CB">
              <w:rPr>
                <w:noProof/>
                <w:color w:val="FF0000"/>
                <w:lang w:val="cs-CZ"/>
              </w:rPr>
              <w:t>Dle nařízení Komise (EU) 2023/25</w:t>
            </w:r>
            <w:r w:rsidR="00165E70" w:rsidRPr="009913CB">
              <w:rPr>
                <w:noProof/>
                <w:color w:val="FF0000"/>
                <w:lang w:val="cs-CZ"/>
              </w:rPr>
              <w:t>94</w:t>
            </w:r>
            <w:r w:rsidRPr="009913CB">
              <w:rPr>
                <w:noProof/>
                <w:color w:val="FF0000"/>
                <w:lang w:val="cs-CZ"/>
              </w:rPr>
              <w:t xml:space="preserve"> </w:t>
            </w:r>
            <w:r w:rsidR="00B349A6" w:rsidRPr="009913CB">
              <w:rPr>
                <w:noProof/>
                <w:color w:val="FF0000"/>
                <w:lang w:val="cs-CZ"/>
              </w:rPr>
              <w:t>se zamítá obnovení</w:t>
            </w:r>
            <w:r w:rsidRPr="009913CB">
              <w:rPr>
                <w:b/>
                <w:noProof/>
                <w:color w:val="FF0000"/>
                <w:lang w:val="cs-CZ"/>
              </w:rPr>
              <w:t xml:space="preserve"> </w:t>
            </w:r>
            <w:r w:rsidR="00522118" w:rsidRPr="009913CB">
              <w:rPr>
                <w:bCs/>
                <w:noProof/>
                <w:color w:val="FF0000"/>
                <w:lang w:val="cs-CZ"/>
              </w:rPr>
              <w:t>a tudíž se z trhu</w:t>
            </w:r>
            <w:r w:rsidR="00522118" w:rsidRPr="009913CB">
              <w:rPr>
                <w:b/>
                <w:noProof/>
                <w:color w:val="FF0000"/>
                <w:lang w:val="cs-CZ"/>
              </w:rPr>
              <w:t xml:space="preserve"> STAHUJE </w:t>
            </w:r>
            <w:r w:rsidRPr="009913CB">
              <w:rPr>
                <w:noProof/>
                <w:color w:val="FF0000"/>
                <w:lang w:val="cs-CZ"/>
              </w:rPr>
              <w:t>doplňkov</w:t>
            </w:r>
            <w:r w:rsidR="00522118" w:rsidRPr="009913CB">
              <w:rPr>
                <w:noProof/>
                <w:color w:val="FF0000"/>
                <w:lang w:val="cs-CZ"/>
              </w:rPr>
              <w:t>á</w:t>
            </w:r>
            <w:r w:rsidRPr="009913CB">
              <w:rPr>
                <w:noProof/>
                <w:color w:val="FF0000"/>
                <w:lang w:val="cs-CZ"/>
              </w:rPr>
              <w:t xml:space="preserve"> látk</w:t>
            </w:r>
            <w:r w:rsidR="00522118" w:rsidRPr="009913CB">
              <w:rPr>
                <w:noProof/>
                <w:color w:val="FF0000"/>
                <w:lang w:val="cs-CZ"/>
              </w:rPr>
              <w:t>a</w:t>
            </w:r>
            <w:r w:rsidRPr="009913CB">
              <w:rPr>
                <w:noProof/>
                <w:color w:val="FF0000"/>
                <w:lang w:val="cs-CZ"/>
              </w:rPr>
              <w:t xml:space="preserve"> </w:t>
            </w:r>
            <w:r w:rsidR="00CA4413" w:rsidRPr="009913CB">
              <w:rPr>
                <w:noProof/>
                <w:color w:val="FF0000"/>
                <w:lang w:val="cs-CZ"/>
              </w:rPr>
              <w:t xml:space="preserve">ID51758 </w:t>
            </w:r>
            <w:r w:rsidRPr="009913CB">
              <w:rPr>
                <w:color w:val="FF0000"/>
                <w:lang w:val="cs-CZ"/>
              </w:rPr>
              <w:t>ROBENIDIN HYDROCHLORID 66 g/kg (</w:t>
            </w:r>
            <w:proofErr w:type="spellStart"/>
            <w:r w:rsidRPr="009913CB">
              <w:rPr>
                <w:color w:val="FF0000"/>
                <w:lang w:val="cs-CZ"/>
              </w:rPr>
              <w:t>Cycostat</w:t>
            </w:r>
            <w:proofErr w:type="spellEnd"/>
            <w:r w:rsidRPr="009913CB">
              <w:rPr>
                <w:color w:val="FF0000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66 G"/>
              </w:smartTagPr>
              <w:r w:rsidRPr="009913CB">
                <w:rPr>
                  <w:color w:val="FF0000"/>
                  <w:lang w:val="cs-CZ"/>
                </w:rPr>
                <w:t>66 G</w:t>
              </w:r>
            </w:smartTag>
            <w:r w:rsidRPr="009913CB">
              <w:rPr>
                <w:color w:val="FF0000"/>
                <w:lang w:val="cs-CZ"/>
              </w:rPr>
              <w:t>)</w:t>
            </w:r>
            <w:r w:rsidRPr="009913CB">
              <w:rPr>
                <w:noProof/>
                <w:color w:val="FF0000"/>
                <w:lang w:val="cs-CZ"/>
              </w:rPr>
              <w:t xml:space="preserve"> pro chovné králíky</w:t>
            </w:r>
            <w:r w:rsidR="00CA4413" w:rsidRPr="009913CB">
              <w:rPr>
                <w:noProof/>
                <w:color w:val="FF0000"/>
                <w:lang w:val="cs-CZ"/>
              </w:rPr>
              <w:t xml:space="preserve"> a králíky ve výkrmu</w:t>
            </w:r>
            <w:r w:rsidRPr="009913CB">
              <w:rPr>
                <w:noProof/>
                <w:color w:val="FF0000"/>
                <w:lang w:val="cs-CZ"/>
              </w:rPr>
              <w:t>.</w:t>
            </w:r>
          </w:p>
          <w:p w14:paraId="36D350FD" w14:textId="77777777" w:rsidR="009245F4" w:rsidRPr="009913CB" w:rsidRDefault="00877807" w:rsidP="009913CB">
            <w:pPr>
              <w:pStyle w:val="Odstavecseseznamem"/>
              <w:numPr>
                <w:ilvl w:val="0"/>
                <w:numId w:val="24"/>
              </w:numPr>
              <w:rPr>
                <w:noProof/>
                <w:color w:val="FF0000"/>
                <w:lang w:val="cs-CZ"/>
              </w:rPr>
            </w:pPr>
            <w:r w:rsidRPr="009913CB">
              <w:rPr>
                <w:noProof/>
                <w:color w:val="FF0000"/>
                <w:lang w:val="cs-CZ"/>
              </w:rPr>
              <w:t xml:space="preserve">Stávající zásoby této </w:t>
            </w:r>
            <w:r w:rsidR="00D10DF4" w:rsidRPr="009913CB">
              <w:rPr>
                <w:noProof/>
                <w:color w:val="FF0000"/>
                <w:lang w:val="cs-CZ"/>
              </w:rPr>
              <w:t xml:space="preserve">doplňkové </w:t>
            </w:r>
            <w:r w:rsidRPr="009913CB">
              <w:rPr>
                <w:noProof/>
                <w:color w:val="FF0000"/>
                <w:lang w:val="cs-CZ"/>
              </w:rPr>
              <w:t>látky</w:t>
            </w:r>
            <w:r w:rsidR="00D10DF4" w:rsidRPr="009913CB">
              <w:rPr>
                <w:noProof/>
                <w:color w:val="FF0000"/>
                <w:lang w:val="cs-CZ"/>
              </w:rPr>
              <w:t xml:space="preserve"> a premixů</w:t>
            </w:r>
            <w:r w:rsidR="009245F4" w:rsidRPr="009913CB">
              <w:rPr>
                <w:noProof/>
                <w:color w:val="FF0000"/>
                <w:lang w:val="cs-CZ"/>
              </w:rPr>
              <w:t>, které jí obsahují, se stáhnou z trhu do dne 12.března 2024.</w:t>
            </w:r>
          </w:p>
          <w:p w14:paraId="5C961A89" w14:textId="4D3FF60D" w:rsidR="00CA4413" w:rsidRPr="009913CB" w:rsidRDefault="009245F4" w:rsidP="009913CB">
            <w:pPr>
              <w:pStyle w:val="Odstavecseseznamem"/>
              <w:numPr>
                <w:ilvl w:val="0"/>
                <w:numId w:val="24"/>
              </w:numPr>
              <w:rPr>
                <w:noProof/>
                <w:color w:val="FF0000"/>
                <w:lang w:val="cs-CZ"/>
              </w:rPr>
            </w:pPr>
            <w:r w:rsidRPr="009913CB">
              <w:rPr>
                <w:noProof/>
                <w:color w:val="FF0000"/>
                <w:lang w:val="cs-CZ"/>
              </w:rPr>
              <w:t xml:space="preserve">Krmné suroviny a krmné směsi, které byly vyrobeny s použitím této </w:t>
            </w:r>
            <w:r w:rsidR="00B5167D" w:rsidRPr="009913CB">
              <w:rPr>
                <w:noProof/>
                <w:color w:val="FF0000"/>
                <w:lang w:val="cs-CZ"/>
              </w:rPr>
              <w:t xml:space="preserve">doplňkové látky nebo premixů </w:t>
            </w:r>
            <w:r w:rsidR="0078541B" w:rsidRPr="009913CB">
              <w:rPr>
                <w:noProof/>
                <w:color w:val="FF0000"/>
                <w:lang w:val="cs-CZ"/>
              </w:rPr>
              <w:t>před dnem 12.březen 2024 a které jsou určeny pro chovné králíky a výkrm králíků, se stáhnou z trhu do dne 12. června 2024.</w:t>
            </w:r>
            <w:r w:rsidR="00877807" w:rsidRPr="009913CB">
              <w:rPr>
                <w:noProof/>
                <w:color w:val="FF0000"/>
                <w:lang w:val="cs-CZ"/>
              </w:rPr>
              <w:t xml:space="preserve"> </w:t>
            </w:r>
          </w:p>
          <w:p w14:paraId="54016E31" w14:textId="77777777" w:rsidR="00A762AA" w:rsidRPr="004010A2" w:rsidRDefault="00A762AA" w:rsidP="00CD6C0E">
            <w:pPr>
              <w:pStyle w:val="Default"/>
              <w:rPr>
                <w:color w:val="FF0000"/>
              </w:rPr>
            </w:pPr>
          </w:p>
        </w:tc>
      </w:tr>
      <w:bookmarkEnd w:id="0"/>
    </w:tbl>
    <w:p w14:paraId="10886584" w14:textId="77777777" w:rsidR="00E82657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0D7BFE5F" w14:textId="77777777" w:rsidR="0057611E" w:rsidRPr="00514C9F" w:rsidRDefault="0057611E" w:rsidP="00E82657">
      <w:pPr>
        <w:pStyle w:val="Textpoznpodarou"/>
        <w:rPr>
          <w:color w:val="000000"/>
          <w:szCs w:val="20"/>
          <w:lang w:val="cs-CZ"/>
        </w:rPr>
      </w:pPr>
    </w:p>
    <w:p w14:paraId="67FD594D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  <w:r w:rsidRPr="00514C9F">
        <w:rPr>
          <w:color w:val="000000"/>
          <w:szCs w:val="20"/>
          <w:lang w:val="cs-CZ"/>
        </w:rPr>
        <w:br w:type="page"/>
      </w: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1134"/>
        <w:gridCol w:w="1251"/>
      </w:tblGrid>
      <w:tr w:rsidR="00E82657" w:rsidRPr="00514C9F" w14:paraId="17CC12D4" w14:textId="77777777" w:rsidTr="0049425D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57CF5D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r w:rsidRPr="00514C9F">
              <w:rPr>
                <w:lang w:val="cs-CZ"/>
              </w:rPr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BB0E4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F20B95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4573849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B1847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433C89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A3DA6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75FF1B3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6C4708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91E2A5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4AF4A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990C4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8D68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E82657" w:rsidRPr="00514C9F" w14:paraId="7515CCBF" w14:textId="77777777" w:rsidTr="0049425D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FB118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D337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0BABD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CBB0D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4B22B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8053D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1D859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29B094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C0130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7C2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3EB2CE04" w14:textId="77777777" w:rsidTr="0049425D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5CC25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9815F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8F6B7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31A79B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BB3D6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F2EE0E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769A8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1388F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79FD4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F5E08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500F00B7" w14:textId="77777777" w:rsidTr="0049425D">
        <w:trPr>
          <w:trHeight w:val="321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9653C8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5 1 76 3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1901D0" w14:textId="77777777" w:rsidR="00E82657" w:rsidRPr="00514C9F" w:rsidRDefault="00E82657" w:rsidP="0049425D">
            <w:pPr>
              <w:rPr>
                <w:sz w:val="20"/>
                <w:vertAlign w:val="superscript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Zoetis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t>Belgium</w:t>
            </w:r>
            <w:proofErr w:type="spellEnd"/>
            <w:r w:rsidRPr="00514C9F">
              <w:rPr>
                <w:sz w:val="20"/>
                <w:lang w:val="cs-CZ"/>
              </w:rPr>
              <w:t xml:space="preserve"> SA </w:t>
            </w:r>
            <w:r w:rsidRPr="00514C9F">
              <w:rPr>
                <w:sz w:val="20"/>
                <w:vertAlign w:val="superscript"/>
                <w:lang w:val="cs-CZ"/>
              </w:rPr>
              <w:t>48), 51)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67609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gramStart"/>
            <w:r w:rsidRPr="00514C9F">
              <w:rPr>
                <w:sz w:val="20"/>
                <w:lang w:val="cs-CZ"/>
              </w:rPr>
              <w:t>LASALOCID  SODNÝ</w:t>
            </w:r>
            <w:proofErr w:type="gramEnd"/>
            <w:r w:rsidRPr="00514C9F">
              <w:rPr>
                <w:sz w:val="20"/>
                <w:lang w:val="cs-CZ"/>
              </w:rPr>
              <w:t xml:space="preserve"> A 15 g/100 g</w:t>
            </w:r>
          </w:p>
          <w:p w14:paraId="18F1DE32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Avatec</w:t>
            </w:r>
            <w:proofErr w:type="spellEnd"/>
            <w:r w:rsidRPr="00514C9F">
              <w:rPr>
                <w:sz w:val="20"/>
                <w:lang w:val="cs-CZ"/>
              </w:rPr>
              <w:t xml:space="preserve"> 150 G)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E5ED6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složení doplňkové látky:</w:t>
            </w:r>
          </w:p>
          <w:p w14:paraId="3CD0291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lasalocid</w:t>
            </w:r>
            <w:proofErr w:type="spellEnd"/>
            <w:r w:rsidRPr="00514C9F">
              <w:rPr>
                <w:sz w:val="20"/>
                <w:lang w:val="cs-CZ"/>
              </w:rPr>
              <w:t xml:space="preserve"> sodný A: 15 g/100 g</w:t>
            </w:r>
          </w:p>
          <w:p w14:paraId="18C6142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dihydrát síranu vápenatého:</w:t>
            </w:r>
          </w:p>
          <w:p w14:paraId="01FF3D2A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80,9 g/100 g</w:t>
            </w:r>
          </w:p>
          <w:p w14:paraId="37DA1B72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lignosulfonan</w:t>
            </w:r>
            <w:proofErr w:type="spellEnd"/>
            <w:r w:rsidRPr="00514C9F">
              <w:rPr>
                <w:sz w:val="20"/>
                <w:lang w:val="cs-CZ"/>
              </w:rPr>
              <w:t xml:space="preserve"> vápenatý: 4 g/100 g</w:t>
            </w:r>
          </w:p>
          <w:p w14:paraId="455BBE2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oxid železitý: 0,1 g/100 g</w:t>
            </w:r>
          </w:p>
          <w:p w14:paraId="6B9BCC6A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účinná látka:</w:t>
            </w:r>
          </w:p>
          <w:p w14:paraId="52FDF95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proofErr w:type="gramStart"/>
            <w:r w:rsidRPr="00514C9F">
              <w:rPr>
                <w:b/>
                <w:sz w:val="20"/>
                <w:lang w:val="cs-CZ"/>
              </w:rPr>
              <w:t>lasalocid</w:t>
            </w:r>
            <w:proofErr w:type="spellEnd"/>
            <w:r w:rsidRPr="00514C9F">
              <w:rPr>
                <w:b/>
                <w:sz w:val="20"/>
                <w:lang w:val="cs-CZ"/>
              </w:rPr>
              <w:t xml:space="preserve">  sodný</w:t>
            </w:r>
            <w:proofErr w:type="gramEnd"/>
            <w:r w:rsidRPr="00514C9F">
              <w:rPr>
                <w:b/>
                <w:sz w:val="20"/>
                <w:lang w:val="cs-CZ"/>
              </w:rPr>
              <w:t xml:space="preserve"> A</w:t>
            </w:r>
          </w:p>
          <w:p w14:paraId="7452672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C</w:t>
            </w:r>
            <w:r w:rsidRPr="00514C9F">
              <w:rPr>
                <w:sz w:val="20"/>
                <w:vertAlign w:val="subscript"/>
                <w:lang w:val="cs-CZ"/>
              </w:rPr>
              <w:t>34</w:t>
            </w:r>
            <w:r w:rsidRPr="00514C9F">
              <w:rPr>
                <w:sz w:val="20"/>
                <w:lang w:val="cs-CZ"/>
              </w:rPr>
              <w:t>H</w:t>
            </w:r>
            <w:r w:rsidRPr="00514C9F">
              <w:rPr>
                <w:sz w:val="20"/>
                <w:vertAlign w:val="subscript"/>
                <w:lang w:val="cs-CZ"/>
              </w:rPr>
              <w:t>53</w:t>
            </w:r>
            <w:r w:rsidRPr="00514C9F">
              <w:rPr>
                <w:sz w:val="20"/>
                <w:lang w:val="cs-CZ"/>
              </w:rPr>
              <w:t>Na O</w:t>
            </w:r>
            <w:r w:rsidRPr="00514C9F">
              <w:rPr>
                <w:sz w:val="20"/>
                <w:vertAlign w:val="subscript"/>
                <w:lang w:val="cs-CZ"/>
              </w:rPr>
              <w:t>8</w:t>
            </w:r>
          </w:p>
          <w:p w14:paraId="184CFF8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číslo CAS: 25999-20-6</w:t>
            </w:r>
          </w:p>
          <w:p w14:paraId="5CF3409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(sodná sůl 6-/(3R,4S,5S,7</w:t>
            </w:r>
            <w:proofErr w:type="gramStart"/>
            <w:r w:rsidRPr="00514C9F">
              <w:rPr>
                <w:sz w:val="20"/>
                <w:lang w:val="cs-CZ"/>
              </w:rPr>
              <w:t>R)-</w:t>
            </w:r>
            <w:proofErr w:type="gramEnd"/>
            <w:r w:rsidRPr="00514C9F">
              <w:rPr>
                <w:sz w:val="20"/>
                <w:lang w:val="cs-CZ"/>
              </w:rPr>
              <w:t xml:space="preserve">7-/(2S,3S,5S)-5-etyl-5-/(2R,5R,6S)-5-etyl-5-hydroxy-6-metyltetrahydro-2H-pyran-2-yl/-tetrahydro-3-metyl-2-furyl/-4-hydroxy-3,5-dimetyl-6-oxonyl/-2 hydroxy-3-methyl benzoátu, produkovaného </w:t>
            </w:r>
            <w:proofErr w:type="spellStart"/>
            <w:r w:rsidRPr="00514C9F">
              <w:rPr>
                <w:i/>
                <w:sz w:val="20"/>
                <w:lang w:val="cs-CZ"/>
              </w:rPr>
              <w:t>Streptomyces</w:t>
            </w:r>
            <w:proofErr w:type="spellEnd"/>
            <w:r w:rsidRPr="00514C9F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i/>
                <w:sz w:val="20"/>
                <w:lang w:val="cs-CZ"/>
              </w:rPr>
              <w:t>lasaliensis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iCs/>
                <w:sz w:val="20"/>
                <w:lang w:val="cs-CZ"/>
              </w:rPr>
              <w:t>subsp</w:t>
            </w:r>
            <w:proofErr w:type="spellEnd"/>
            <w:r w:rsidRPr="00514C9F">
              <w:rPr>
                <w:i/>
                <w:sz w:val="20"/>
                <w:lang w:val="cs-CZ"/>
              </w:rPr>
              <w:t>.</w:t>
            </w:r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i/>
                <w:sz w:val="20"/>
                <w:lang w:val="cs-CZ"/>
              </w:rPr>
              <w:t>lasaliensis</w:t>
            </w:r>
            <w:proofErr w:type="spellEnd"/>
            <w:r w:rsidRPr="00514C9F">
              <w:rPr>
                <w:sz w:val="20"/>
                <w:lang w:val="cs-CZ"/>
              </w:rPr>
              <w:t xml:space="preserve"> (ATCC 31180)</w:t>
            </w:r>
          </w:p>
          <w:p w14:paraId="7B01F8A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přidružené nečistoty: </w:t>
            </w:r>
          </w:p>
          <w:p w14:paraId="15AD4563" w14:textId="77777777" w:rsidR="00E82657" w:rsidRPr="00514C9F" w:rsidRDefault="00E82657" w:rsidP="0049425D">
            <w:pPr>
              <w:pStyle w:val="Zkladntext3"/>
            </w:pPr>
            <w:proofErr w:type="spellStart"/>
            <w:r w:rsidRPr="00514C9F">
              <w:t>lasalocid</w:t>
            </w:r>
            <w:proofErr w:type="spellEnd"/>
            <w:r w:rsidRPr="00514C9F">
              <w:t xml:space="preserve"> sodný B–E ≤10 %</w:t>
            </w:r>
          </w:p>
          <w:p w14:paraId="334BA049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Analytické metody:</w:t>
            </w:r>
            <w:r w:rsidRPr="00514C9F">
              <w:rPr>
                <w:lang w:val="cs-CZ"/>
              </w:rPr>
              <w:t xml:space="preserve"> </w:t>
            </w:r>
            <w:r w:rsidRPr="00514C9F">
              <w:rPr>
                <w:sz w:val="20"/>
                <w:szCs w:val="20"/>
                <w:lang w:val="cs-CZ"/>
              </w:rPr>
              <w:t xml:space="preserve">vysokoúčinná kapalinová chromatografie (HPLC) na reverzní fázi s použitím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spektrofluorimetru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(nařízení (ES) č. 152/2009)</w:t>
            </w:r>
          </w:p>
          <w:p w14:paraId="7750E8A2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  <w:p w14:paraId="75F98011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B2F7B2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krůty </w:t>
            </w:r>
            <w:r w:rsidRPr="00514C9F">
              <w:rPr>
                <w:sz w:val="20"/>
                <w:szCs w:val="20"/>
                <w:vertAlign w:val="superscript"/>
                <w:lang w:val="cs-C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D55AAF" w14:textId="77777777" w:rsidR="00E82657" w:rsidRPr="00514C9F" w:rsidRDefault="00E82657" w:rsidP="0049425D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16 týdnů</w:t>
            </w:r>
          </w:p>
          <w:p w14:paraId="07049829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4E134B" w14:textId="77777777" w:rsidR="00E82657" w:rsidRPr="00514C9F" w:rsidRDefault="00E82657" w:rsidP="0049425D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75</w:t>
            </w:r>
          </w:p>
          <w:p w14:paraId="0C46F925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D0AC34" w14:textId="77777777" w:rsidR="00E82657" w:rsidRPr="00514C9F" w:rsidRDefault="00E82657" w:rsidP="0049425D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125</w:t>
            </w:r>
          </w:p>
          <w:p w14:paraId="756AFD5C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86B4A6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r w:rsidRPr="00514C9F">
              <w:rPr>
                <w:sz w:val="20"/>
                <w:lang w:val="cs-CZ"/>
              </w:rPr>
              <w:t xml:space="preserve">Zakázáno podávání nejméně 5 dní před porážkou. </w:t>
            </w:r>
          </w:p>
          <w:p w14:paraId="5ECD127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7C49D749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V návodu k použití musí být uvedeno: „Nebezpečné pro koňovité“ „Toto krmivo obsahuje ionofor: podávání této látky současně s některými léčebnými látkami může být kontraindikováno.“ </w:t>
            </w:r>
          </w:p>
          <w:p w14:paraId="37D501FB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01B9DAC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Držitel povolení naplánuje a provede program monitorování po uvedení na trh ohledně odolnosti vůči bakteriím a </w:t>
            </w:r>
            <w:proofErr w:type="spellStart"/>
            <w:r w:rsidRPr="00514C9F">
              <w:rPr>
                <w:sz w:val="20"/>
                <w:lang w:val="cs-CZ"/>
              </w:rPr>
              <w:t>Eimeria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t>spp</w:t>
            </w:r>
            <w:proofErr w:type="spellEnd"/>
            <w:r w:rsidRPr="00514C9F">
              <w:rPr>
                <w:sz w:val="20"/>
                <w:lang w:val="cs-CZ"/>
              </w:rPr>
              <w:t xml:space="preserve">. </w:t>
            </w:r>
          </w:p>
          <w:p w14:paraId="520A7036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757FADB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Doplňková látka se do krmné směsi musí zapracovat ve formě </w:t>
            </w:r>
            <w:proofErr w:type="spellStart"/>
            <w:r w:rsidRPr="00514C9F">
              <w:rPr>
                <w:sz w:val="20"/>
                <w:lang w:val="cs-CZ"/>
              </w:rPr>
              <w:t>premixu</w:t>
            </w:r>
            <w:proofErr w:type="spellEnd"/>
            <w:r w:rsidRPr="00514C9F">
              <w:rPr>
                <w:sz w:val="20"/>
                <w:lang w:val="cs-CZ"/>
              </w:rPr>
              <w:t xml:space="preserve">. </w:t>
            </w:r>
          </w:p>
          <w:p w14:paraId="3E3958F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3917012E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Lasalosid</w:t>
            </w:r>
            <w:proofErr w:type="spellEnd"/>
            <w:r w:rsidRPr="00514C9F">
              <w:rPr>
                <w:sz w:val="20"/>
                <w:lang w:val="cs-CZ"/>
              </w:rPr>
              <w:t xml:space="preserve"> sodný A se nesmí míchat s jinými </w:t>
            </w:r>
            <w:proofErr w:type="spellStart"/>
            <w:r w:rsidRPr="00514C9F">
              <w:rPr>
                <w:sz w:val="20"/>
                <w:lang w:val="cs-CZ"/>
              </w:rPr>
              <w:t>kokcidiostatiky</w:t>
            </w:r>
            <w:proofErr w:type="spellEnd"/>
            <w:r w:rsidRPr="00514C9F">
              <w:rPr>
                <w:sz w:val="20"/>
                <w:lang w:val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950872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26.10.2020</w:t>
            </w:r>
          </w:p>
          <w:p w14:paraId="6A71C2DF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D77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Nařízení (EU) č. 37/2010</w:t>
            </w:r>
          </w:p>
          <w:p w14:paraId="28D009A6" w14:textId="77777777" w:rsidR="00E82657" w:rsidRPr="00514C9F" w:rsidRDefault="00E82657" w:rsidP="0049425D">
            <w:pPr>
              <w:rPr>
                <w:lang w:val="cs-CZ"/>
              </w:rPr>
            </w:pPr>
          </w:p>
        </w:tc>
      </w:tr>
      <w:tr w:rsidR="00E82657" w:rsidRPr="00514C9F" w14:paraId="77BFD26C" w14:textId="77777777" w:rsidTr="0049425D">
        <w:trPr>
          <w:trHeight w:val="3217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9B5D65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5AE1A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EB39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8C29A6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26D34B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Bažanti, perličky, křepelky a koroptve kromě nosnic </w:t>
            </w:r>
            <w:r w:rsidRPr="00514C9F">
              <w:rPr>
                <w:sz w:val="20"/>
                <w:szCs w:val="20"/>
                <w:vertAlign w:val="superscript"/>
                <w:lang w:val="cs-CZ"/>
              </w:rPr>
              <w:t>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84C62D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514C9F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B395B3" w14:textId="77777777" w:rsidR="00E82657" w:rsidRPr="00514C9F" w:rsidRDefault="00E82657" w:rsidP="0049425D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75</w:t>
            </w:r>
          </w:p>
          <w:p w14:paraId="0B82B658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99F7EE" w14:textId="77777777" w:rsidR="00E82657" w:rsidRPr="00514C9F" w:rsidRDefault="00E82657" w:rsidP="0049425D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125</w:t>
            </w:r>
          </w:p>
          <w:p w14:paraId="1DC93483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F05144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6A8914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28.9.2021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2E9" w14:textId="77777777" w:rsidR="00E82657" w:rsidRPr="00514C9F" w:rsidRDefault="00E82657" w:rsidP="0049425D">
            <w:pPr>
              <w:rPr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Nařízení Komise (EU) č. 37/2010</w:t>
            </w:r>
          </w:p>
        </w:tc>
      </w:tr>
    </w:tbl>
    <w:p w14:paraId="14F88444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1134"/>
        <w:gridCol w:w="1251"/>
      </w:tblGrid>
      <w:tr w:rsidR="00E82657" w:rsidRPr="00514C9F" w14:paraId="40932D3E" w14:textId="77777777" w:rsidTr="0049425D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F6ECB6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r w:rsidRPr="00514C9F">
              <w:rPr>
                <w:lang w:val="cs-CZ"/>
              </w:rPr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E3CAF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8ED950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1D7B3C0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BBD15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F5B7BF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AF2F0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32AD301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91B7DF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EBC0D6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AE36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D2250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2819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E82657" w:rsidRPr="00514C9F" w14:paraId="3EFAA693" w14:textId="77777777" w:rsidTr="0049425D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3B68C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2EAE0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D6E3F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F42EA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AEB82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5DB70D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8482D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C9CDF7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635F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A98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57668A14" w14:textId="77777777" w:rsidTr="0049425D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D52AE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B76B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656CE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00F6C1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B3E6C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2A97AE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DB8C4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3A1AD1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7AB47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69C99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54E69B90" w14:textId="77777777" w:rsidTr="0049425D">
        <w:trPr>
          <w:trHeight w:val="337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CC0945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5 1 701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8C540A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Huvepharma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NV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Belgium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80D169" w14:textId="77777777" w:rsidR="00E82657" w:rsidRPr="00514C9F" w:rsidRDefault="00E82657" w:rsidP="0049425D">
            <w:pPr>
              <w:rPr>
                <w:smallCaps/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mallCaps/>
                <w:sz w:val="20"/>
                <w:szCs w:val="20"/>
                <w:lang w:val="cs-CZ"/>
              </w:rPr>
              <w:t>monensinát</w:t>
            </w:r>
            <w:proofErr w:type="spellEnd"/>
            <w:r w:rsidRPr="00514C9F">
              <w:rPr>
                <w:smallCaps/>
                <w:sz w:val="20"/>
                <w:szCs w:val="20"/>
                <w:lang w:val="cs-CZ"/>
              </w:rPr>
              <w:t xml:space="preserve"> sodný</w:t>
            </w:r>
          </w:p>
          <w:p w14:paraId="3FEE7173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Coxidin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832D7B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Složení doplňkové látky</w:t>
            </w:r>
            <w:r w:rsidRPr="00514C9F">
              <w:rPr>
                <w:sz w:val="20"/>
                <w:szCs w:val="20"/>
                <w:lang w:val="cs-CZ"/>
              </w:rPr>
              <w:t xml:space="preserve"> Technická látka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sodný odpovídající aktivitě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monensinátu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: 25 %, </w:t>
            </w:r>
          </w:p>
          <w:p w14:paraId="7874A651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perlit: 15 %–20 </w:t>
            </w:r>
            <w:proofErr w:type="gramStart"/>
            <w:r w:rsidRPr="00514C9F">
              <w:rPr>
                <w:sz w:val="20"/>
                <w:szCs w:val="20"/>
                <w:lang w:val="cs-CZ"/>
              </w:rPr>
              <w:t>%,  uhličitan</w:t>
            </w:r>
            <w:proofErr w:type="gramEnd"/>
            <w:r w:rsidRPr="00514C9F">
              <w:rPr>
                <w:sz w:val="20"/>
                <w:szCs w:val="20"/>
                <w:lang w:val="cs-CZ"/>
              </w:rPr>
              <w:t xml:space="preserve"> vápenatý: 100 % </w:t>
            </w:r>
          </w:p>
          <w:p w14:paraId="2E1D5B13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  <w:p w14:paraId="373BC63D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Účinná látka</w:t>
            </w:r>
            <w:r w:rsidRPr="00514C9F">
              <w:rPr>
                <w:sz w:val="20"/>
                <w:szCs w:val="20"/>
                <w:lang w:val="cs-CZ"/>
              </w:rPr>
              <w:t xml:space="preserve"> </w:t>
            </w:r>
          </w:p>
          <w:p w14:paraId="0B30DFF0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C </w:t>
            </w:r>
            <w:proofErr w:type="gramStart"/>
            <w:r w:rsidRPr="00514C9F">
              <w:rPr>
                <w:sz w:val="20"/>
                <w:szCs w:val="20"/>
                <w:vertAlign w:val="subscript"/>
                <w:lang w:val="cs-CZ"/>
              </w:rPr>
              <w:t>36</w:t>
            </w:r>
            <w:r w:rsidRPr="00514C9F">
              <w:rPr>
                <w:sz w:val="20"/>
                <w:szCs w:val="20"/>
                <w:lang w:val="cs-CZ"/>
              </w:rPr>
              <w:t>H</w:t>
            </w:r>
            <w:proofErr w:type="gram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r w:rsidRPr="00514C9F">
              <w:rPr>
                <w:sz w:val="20"/>
                <w:szCs w:val="20"/>
                <w:vertAlign w:val="subscript"/>
                <w:lang w:val="cs-CZ"/>
              </w:rPr>
              <w:t>61</w:t>
            </w:r>
            <w:r w:rsidRPr="00514C9F">
              <w:rPr>
                <w:sz w:val="20"/>
                <w:szCs w:val="20"/>
                <w:lang w:val="cs-CZ"/>
              </w:rPr>
              <w:t xml:space="preserve">O </w:t>
            </w:r>
            <w:r w:rsidRPr="00514C9F">
              <w:rPr>
                <w:sz w:val="20"/>
                <w:szCs w:val="20"/>
                <w:vertAlign w:val="subscript"/>
                <w:lang w:val="cs-CZ"/>
              </w:rPr>
              <w:t>11</w:t>
            </w:r>
            <w:r w:rsidRPr="00514C9F">
              <w:rPr>
                <w:sz w:val="20"/>
                <w:szCs w:val="20"/>
                <w:lang w:val="cs-CZ"/>
              </w:rPr>
              <w:t xml:space="preserve">Na </w:t>
            </w:r>
          </w:p>
          <w:p w14:paraId="6D0BC27E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Sodná sůl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polyetheru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kyseliny monokarboxylové produkovaná kmenem </w:t>
            </w:r>
            <w:proofErr w:type="spellStart"/>
            <w:r w:rsidRPr="00514C9F">
              <w:rPr>
                <w:i/>
                <w:sz w:val="20"/>
                <w:szCs w:val="20"/>
                <w:lang w:val="cs-CZ"/>
              </w:rPr>
              <w:t>Streptomyces</w:t>
            </w:r>
            <w:proofErr w:type="spellEnd"/>
            <w:r w:rsidRPr="00514C9F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i/>
                <w:sz w:val="20"/>
                <w:szCs w:val="20"/>
                <w:lang w:val="cs-CZ"/>
              </w:rPr>
              <w:t>cinnamonensis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, 28682, LMG S-19095, v prášku. </w:t>
            </w:r>
          </w:p>
          <w:p w14:paraId="77314079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  <w:p w14:paraId="378366F5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Poměr složek </w:t>
            </w:r>
          </w:p>
          <w:p w14:paraId="4711885D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A: ne méně než 90 % </w:t>
            </w:r>
          </w:p>
          <w:p w14:paraId="06A93CF1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A + B: ne méně než 95 %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C: 0,2–0,3 % </w:t>
            </w:r>
          </w:p>
          <w:p w14:paraId="2593A545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  <w:p w14:paraId="2C3818FE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Analytická metoda</w:t>
            </w:r>
            <w:r w:rsidRPr="00514C9F">
              <w:rPr>
                <w:sz w:val="20"/>
                <w:szCs w:val="20"/>
                <w:lang w:val="cs-CZ"/>
              </w:rPr>
              <w:t xml:space="preserve"> (</w:t>
            </w:r>
            <w:proofErr w:type="gramStart"/>
            <w:r w:rsidRPr="00514C9F">
              <w:rPr>
                <w:sz w:val="20"/>
                <w:szCs w:val="20"/>
                <w:lang w:val="cs-CZ"/>
              </w:rPr>
              <w:t>* )</w:t>
            </w:r>
            <w:proofErr w:type="gramEnd"/>
            <w:r w:rsidRPr="00514C9F">
              <w:rPr>
                <w:sz w:val="20"/>
                <w:szCs w:val="20"/>
                <w:lang w:val="cs-CZ"/>
              </w:rPr>
              <w:t xml:space="preserve"> Metoda pro stanovení účinné látky: vysokoúčinná kapalinová chromatografie (HPLC) s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postkolonovou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derivatizací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a UV-VIS detekcí (metoda podle normy EN ISO 14183:2008).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238257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výkrm kuřat </w:t>
            </w:r>
            <w:r w:rsidRPr="00514C9F">
              <w:rPr>
                <w:sz w:val="20"/>
                <w:szCs w:val="20"/>
                <w:vertAlign w:val="superscript"/>
                <w:lang w:val="cs-CZ"/>
              </w:rPr>
              <w:t>42)</w:t>
            </w:r>
          </w:p>
          <w:p w14:paraId="104C3B0B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81DD27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514C9F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F7F0" w14:textId="77777777" w:rsidR="00E82657" w:rsidRPr="00514C9F" w:rsidRDefault="00E82657" w:rsidP="0049425D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100</w:t>
            </w:r>
          </w:p>
          <w:p w14:paraId="2EED72B4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5625ED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F9DA54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1.</w:t>
            </w:r>
            <w:r w:rsidRPr="00514C9F">
              <w:rPr>
                <w:sz w:val="20"/>
                <w:szCs w:val="20"/>
                <w:lang w:val="cs-CZ"/>
              </w:rPr>
              <w:tab/>
              <w:t>Ochranná lhůta nejméně jeden den před porážkou.</w:t>
            </w:r>
          </w:p>
          <w:p w14:paraId="39398B34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2.</w:t>
            </w:r>
            <w:r w:rsidRPr="00514C9F">
              <w:rPr>
                <w:sz w:val="20"/>
                <w:szCs w:val="20"/>
                <w:lang w:val="cs-CZ"/>
              </w:rPr>
              <w:tab/>
              <w:t xml:space="preserve">Doplňková látka se do krmné směsi </w:t>
            </w:r>
            <w:proofErr w:type="gramStart"/>
            <w:r w:rsidRPr="00514C9F">
              <w:rPr>
                <w:sz w:val="20"/>
                <w:szCs w:val="20"/>
                <w:lang w:val="cs-CZ"/>
              </w:rPr>
              <w:t>přimísí  ve</w:t>
            </w:r>
            <w:proofErr w:type="gramEnd"/>
            <w:r w:rsidRPr="00514C9F">
              <w:rPr>
                <w:sz w:val="20"/>
                <w:szCs w:val="20"/>
                <w:lang w:val="cs-CZ"/>
              </w:rPr>
              <w:t xml:space="preserve"> formě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.</w:t>
            </w:r>
          </w:p>
          <w:p w14:paraId="6F9E16B1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3.</w:t>
            </w:r>
            <w:r w:rsidRPr="00514C9F">
              <w:rPr>
                <w:sz w:val="20"/>
                <w:szCs w:val="20"/>
                <w:lang w:val="cs-CZ"/>
              </w:rPr>
              <w:tab/>
              <w:t xml:space="preserve">Nejvyšší povolená dávka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monensinátu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sodného v doplňkovém krmivu: </w:t>
            </w:r>
          </w:p>
          <w:p w14:paraId="1ED9651C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-</w:t>
            </w:r>
            <w:r w:rsidRPr="00514C9F">
              <w:rPr>
                <w:sz w:val="20"/>
                <w:szCs w:val="20"/>
                <w:lang w:val="cs-CZ"/>
              </w:rPr>
              <w:tab/>
              <w:t>625 mg/kg pro výkrm kuřat;</w:t>
            </w:r>
          </w:p>
          <w:p w14:paraId="1508B0BA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-</w:t>
            </w:r>
            <w:r w:rsidRPr="00514C9F">
              <w:rPr>
                <w:sz w:val="20"/>
                <w:szCs w:val="20"/>
                <w:lang w:val="cs-CZ"/>
              </w:rPr>
              <w:tab/>
              <w:t>500 mg/kg pro krůty.</w:t>
            </w:r>
          </w:p>
          <w:p w14:paraId="097082FA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4.</w:t>
            </w:r>
            <w:r w:rsidRPr="00514C9F">
              <w:rPr>
                <w:sz w:val="20"/>
                <w:szCs w:val="20"/>
                <w:lang w:val="cs-CZ"/>
              </w:rPr>
              <w:tab/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sodný se nesmí mísit s jinými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kokcidiostatiky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.</w:t>
            </w:r>
          </w:p>
          <w:p w14:paraId="3C5D5529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5.</w:t>
            </w:r>
            <w:r w:rsidRPr="00514C9F">
              <w:rPr>
                <w:sz w:val="20"/>
                <w:szCs w:val="20"/>
                <w:lang w:val="cs-CZ"/>
              </w:rPr>
              <w:tab/>
              <w:t>V návodu k použití musí být uvedeno:</w:t>
            </w:r>
          </w:p>
          <w:p w14:paraId="6398E367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ab/>
              <w:t>„Nebezpečné pro koňovité. Toto krmivo obsahuje ionofor: nepodávat současně s 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tiamulinem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a sledovat případné nežádoucí reakce při současném podávání jiných léčebných látek.“</w:t>
            </w:r>
          </w:p>
          <w:p w14:paraId="7B58DAA1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6.</w:t>
            </w:r>
            <w:r w:rsidRPr="00514C9F">
              <w:rPr>
                <w:sz w:val="20"/>
                <w:szCs w:val="20"/>
                <w:lang w:val="cs-CZ"/>
              </w:rPr>
              <w:tab/>
              <w:t xml:space="preserve">Je nezbytné používat vhodný ochranný oděv, </w:t>
            </w:r>
            <w:r w:rsidRPr="00514C9F">
              <w:rPr>
                <w:sz w:val="20"/>
                <w:szCs w:val="20"/>
                <w:lang w:val="cs-CZ"/>
              </w:rPr>
              <w:lastRenderedPageBreak/>
              <w:t>rukavice a ochranné prostředky pro oči a obličej. V případě nedostatečně větraných prostor je nutné používat vhodné prostředky k ochraně dýchacích cest.</w:t>
            </w:r>
          </w:p>
          <w:p w14:paraId="1AC84821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7.   Držitel povolení naplánuje a provede program monitorování po uvedení na trh ohledně odolnosti vůči </w:t>
            </w:r>
            <w:proofErr w:type="spellStart"/>
            <w:r w:rsidRPr="00514C9F">
              <w:rPr>
                <w:i/>
                <w:sz w:val="20"/>
                <w:szCs w:val="20"/>
                <w:lang w:val="cs-CZ"/>
              </w:rPr>
              <w:t>Eimeria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spp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.</w:t>
            </w:r>
          </w:p>
          <w:p w14:paraId="1083D45C" w14:textId="77777777" w:rsidR="00E82657" w:rsidRPr="00514C9F" w:rsidRDefault="00E82657" w:rsidP="0049425D">
            <w:pPr>
              <w:pStyle w:val="Textpoznpodarou"/>
              <w:rPr>
                <w:color w:val="00000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769401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514C9F">
              <w:rPr>
                <w:color w:val="000000"/>
                <w:sz w:val="20"/>
                <w:szCs w:val="20"/>
                <w:lang w:val="cs-CZ"/>
              </w:rPr>
              <w:lastRenderedPageBreak/>
              <w:t>10.6.2021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C83F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25 µg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monensinátu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sodného /kg kůží a tuku v syrovém stavu.</w:t>
            </w:r>
          </w:p>
          <w:p w14:paraId="3DC70994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  <w:p w14:paraId="17C753CD" w14:textId="77777777" w:rsidR="00E82657" w:rsidRPr="00514C9F" w:rsidRDefault="00E82657" w:rsidP="0049425D">
            <w:pPr>
              <w:pStyle w:val="Textpoznpodarou"/>
              <w:rPr>
                <w:szCs w:val="20"/>
                <w:lang w:val="cs-CZ"/>
              </w:rPr>
            </w:pPr>
            <w:r w:rsidRPr="00514C9F">
              <w:rPr>
                <w:szCs w:val="20"/>
                <w:lang w:val="cs-CZ"/>
              </w:rPr>
              <w:t xml:space="preserve">8 µg </w:t>
            </w:r>
            <w:proofErr w:type="spellStart"/>
            <w:r w:rsidRPr="00514C9F">
              <w:rPr>
                <w:szCs w:val="20"/>
                <w:lang w:val="cs-CZ"/>
              </w:rPr>
              <w:t>monensinátu</w:t>
            </w:r>
            <w:proofErr w:type="spellEnd"/>
            <w:r w:rsidRPr="00514C9F">
              <w:rPr>
                <w:szCs w:val="20"/>
                <w:lang w:val="cs-CZ"/>
              </w:rPr>
              <w:t xml:space="preserve"> sodného /kg jater, ledvin a svaloviny v syrovém stavu.</w:t>
            </w:r>
          </w:p>
        </w:tc>
      </w:tr>
      <w:tr w:rsidR="00E82657" w:rsidRPr="00514C9F" w14:paraId="67F445EC" w14:textId="77777777" w:rsidTr="0049425D">
        <w:trPr>
          <w:trHeight w:val="337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EAD714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49E618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CF9AB" w14:textId="77777777" w:rsidR="00E82657" w:rsidRPr="00514C9F" w:rsidRDefault="00E82657" w:rsidP="0049425D">
            <w:pPr>
              <w:rPr>
                <w:smallCaps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D2CB85" w14:textId="77777777" w:rsidR="00E82657" w:rsidRPr="00514C9F" w:rsidRDefault="00E82657" w:rsidP="0049425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D68235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krůty </w:t>
            </w:r>
            <w:r w:rsidRPr="00514C9F">
              <w:rPr>
                <w:sz w:val="20"/>
                <w:szCs w:val="20"/>
                <w:vertAlign w:val="superscript"/>
                <w:lang w:val="cs-CZ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4E23BE" w14:textId="77777777" w:rsidR="00E82657" w:rsidRPr="00514C9F" w:rsidRDefault="00E82657" w:rsidP="0049425D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16 týdnů</w:t>
            </w:r>
          </w:p>
          <w:p w14:paraId="14BDE680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4071FF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623800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0B3537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0530F6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514C9F">
              <w:rPr>
                <w:color w:val="000000"/>
                <w:sz w:val="20"/>
                <w:szCs w:val="20"/>
                <w:lang w:val="cs-CZ"/>
              </w:rPr>
              <w:t>10.6.2021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406C2" w14:textId="77777777" w:rsidR="00E82657" w:rsidRPr="00514C9F" w:rsidRDefault="00E82657" w:rsidP="0049425D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657" w:rsidRPr="00514C9F" w14:paraId="5615B154" w14:textId="77777777" w:rsidTr="0049425D">
        <w:trPr>
          <w:trHeight w:val="337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2B5BE8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719FB6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08C714" w14:textId="77777777" w:rsidR="00E82657" w:rsidRPr="00514C9F" w:rsidRDefault="00E82657" w:rsidP="0049425D">
            <w:pPr>
              <w:rPr>
                <w:smallCaps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CA52C9" w14:textId="77777777" w:rsidR="00E82657" w:rsidRPr="00514C9F" w:rsidRDefault="00E82657" w:rsidP="0049425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D6C10F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odchov kuřat a kuřice</w:t>
            </w:r>
            <w:r w:rsidRPr="00514C9F">
              <w:rPr>
                <w:sz w:val="20"/>
                <w:szCs w:val="20"/>
                <w:vertAlign w:val="superscript"/>
                <w:lang w:val="cs-CZ"/>
              </w:rPr>
              <w:t xml:space="preserve"> 47)</w:t>
            </w:r>
          </w:p>
          <w:p w14:paraId="79B946B2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  <w:p w14:paraId="53DA0A62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CD24D8" w14:textId="77777777" w:rsidR="00E82657" w:rsidRPr="00514C9F" w:rsidRDefault="00E82657" w:rsidP="0049425D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16 týdnů</w:t>
            </w:r>
          </w:p>
          <w:p w14:paraId="4F0B6B1A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18AF5F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0C8AB5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320842" w14:textId="77777777" w:rsidR="00E82657" w:rsidRPr="00514C9F" w:rsidRDefault="00E82657" w:rsidP="0049425D">
            <w:pPr>
              <w:autoSpaceDE w:val="0"/>
              <w:autoSpaceDN w:val="0"/>
              <w:adjustRightInd w:val="0"/>
              <w:ind w:left="304" w:hanging="304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3C941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9.3.2022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76E" w14:textId="77777777" w:rsidR="00E82657" w:rsidRPr="00514C9F" w:rsidRDefault="00E82657" w:rsidP="0049425D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40D077" w14:textId="29EB01D2" w:rsidR="007048D3" w:rsidRDefault="007048D3" w:rsidP="00E82657">
      <w:pPr>
        <w:pStyle w:val="Textpoznpodarou"/>
        <w:rPr>
          <w:color w:val="000000"/>
          <w:szCs w:val="20"/>
          <w:lang w:val="cs-CZ"/>
        </w:rPr>
      </w:pPr>
    </w:p>
    <w:p w14:paraId="044D77FF" w14:textId="77777777" w:rsidR="007A1BF9" w:rsidRDefault="007048D3">
      <w:pPr>
        <w:spacing w:after="160" w:line="259" w:lineRule="auto"/>
        <w:rPr>
          <w:color w:val="000000"/>
          <w:szCs w:val="20"/>
          <w:lang w:val="cs-CZ"/>
        </w:rPr>
      </w:pPr>
      <w:r>
        <w:rPr>
          <w:color w:val="000000"/>
          <w:szCs w:val="20"/>
          <w:lang w:val="cs-CZ"/>
        </w:rPr>
        <w:br w:type="page"/>
      </w:r>
    </w:p>
    <w:tbl>
      <w:tblPr>
        <w:tblW w:w="16297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1276"/>
        <w:gridCol w:w="1276"/>
        <w:gridCol w:w="3402"/>
        <w:gridCol w:w="1134"/>
        <w:gridCol w:w="850"/>
        <w:gridCol w:w="851"/>
        <w:gridCol w:w="850"/>
        <w:gridCol w:w="2552"/>
        <w:gridCol w:w="1082"/>
        <w:gridCol w:w="2127"/>
      </w:tblGrid>
      <w:tr w:rsidR="007A1BF9" w:rsidRPr="00514C9F" w14:paraId="4805DC6D" w14:textId="77777777" w:rsidTr="00BB454A">
        <w:trPr>
          <w:cantSplit/>
          <w:trHeight w:val="636"/>
          <w:tblHeader/>
        </w:trPr>
        <w:tc>
          <w:tcPr>
            <w:tcW w:w="89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B012F74" w14:textId="77777777" w:rsidR="007A1BF9" w:rsidRPr="00514C9F" w:rsidRDefault="007A1BF9" w:rsidP="00375D9C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r w:rsidRPr="00514C9F">
              <w:rPr>
                <w:lang w:val="cs-CZ"/>
              </w:rPr>
              <w:t>Identifikační 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786495C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5B92E8F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4C3BD926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F065F4C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282ADF1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A57CD65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</w:t>
            </w:r>
          </w:p>
          <w:p w14:paraId="656F632C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D3C73C2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331E572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C3C0593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8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5AEDD54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2127" w:type="dxa"/>
            <w:vMerge w:val="restart"/>
            <w:vAlign w:val="center"/>
          </w:tcPr>
          <w:p w14:paraId="406D9BFC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7A1BF9" w:rsidRPr="00514C9F" w14:paraId="04973E16" w14:textId="77777777" w:rsidTr="00BB454A">
        <w:trPr>
          <w:cantSplit/>
          <w:trHeight w:val="20"/>
          <w:tblHeader/>
        </w:trPr>
        <w:tc>
          <w:tcPr>
            <w:tcW w:w="897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E61F2F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4722E4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127659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52EEED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A4D595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A2AD03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D43DE8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57C3C0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FD67C2" w14:textId="77777777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8822A23" w14:textId="77777777" w:rsidR="007A1BF9" w:rsidRPr="00514C9F" w:rsidRDefault="007A1BF9" w:rsidP="00375D9C">
            <w:pPr>
              <w:rPr>
                <w:sz w:val="20"/>
                <w:szCs w:val="20"/>
                <w:lang w:val="cs-CZ"/>
              </w:rPr>
            </w:pPr>
          </w:p>
        </w:tc>
      </w:tr>
      <w:tr w:rsidR="007A1BF9" w:rsidRPr="00514C9F" w14:paraId="651CC49C" w14:textId="77777777" w:rsidTr="00BB454A">
        <w:trPr>
          <w:trHeight w:val="5211"/>
        </w:trPr>
        <w:tc>
          <w:tcPr>
            <w:tcW w:w="897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57C67" w14:textId="66AF6ED2" w:rsidR="007A1BF9" w:rsidRPr="00514C9F" w:rsidRDefault="007A1BF9" w:rsidP="00375D9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5176</w:t>
            </w:r>
            <w:r w:rsidR="007D440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F24DEA" w14:textId="77777777" w:rsidR="007A1BF9" w:rsidRPr="00514C9F" w:rsidRDefault="007A1BF9" w:rsidP="00375D9C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Huvepharma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NV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1B6C8F" w14:textId="03EABAB4" w:rsidR="007A1BF9" w:rsidRPr="00514C9F" w:rsidRDefault="007D440D" w:rsidP="00375D9C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Halofuginon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hydrobromid</w:t>
            </w:r>
            <w:proofErr w:type="spellEnd"/>
            <w:r>
              <w:rPr>
                <w:sz w:val="20"/>
                <w:lang w:val="cs-CZ"/>
              </w:rPr>
              <w:t xml:space="preserve"> (</w:t>
            </w:r>
            <w:proofErr w:type="spellStart"/>
            <w:r>
              <w:rPr>
                <w:sz w:val="20"/>
                <w:lang w:val="cs-CZ"/>
              </w:rPr>
              <w:t>Stenorol</w:t>
            </w:r>
            <w:proofErr w:type="spellEnd"/>
            <w:r>
              <w:rPr>
                <w:sz w:val="20"/>
                <w:lang w:val="cs-CZ"/>
              </w:rPr>
              <w:t>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20575A" w14:textId="77777777" w:rsidR="007A1BF9" w:rsidRPr="00514C9F" w:rsidRDefault="007A1BF9" w:rsidP="00375D9C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Složení doplňkové látky:</w:t>
            </w:r>
          </w:p>
          <w:p w14:paraId="645EF409" w14:textId="77F5809E" w:rsidR="004227EC" w:rsidRDefault="004227EC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Přípravek:</w:t>
            </w:r>
          </w:p>
          <w:p w14:paraId="58943C9F" w14:textId="65A3FAD5" w:rsidR="004227EC" w:rsidRDefault="004227EC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- </w:t>
            </w:r>
            <w:proofErr w:type="spellStart"/>
            <w:r>
              <w:rPr>
                <w:sz w:val="20"/>
                <w:lang w:val="cs-CZ"/>
              </w:rPr>
              <w:t>halofuginon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hydrobromid</w:t>
            </w:r>
            <w:proofErr w:type="spellEnd"/>
            <w:r>
              <w:rPr>
                <w:sz w:val="20"/>
                <w:lang w:val="cs-CZ"/>
              </w:rPr>
              <w:t>: 0,6%</w:t>
            </w:r>
          </w:p>
          <w:p w14:paraId="0D2E95A0" w14:textId="6C2961AF" w:rsidR="000113CA" w:rsidRDefault="000113CA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- </w:t>
            </w:r>
            <w:proofErr w:type="spellStart"/>
            <w:r>
              <w:rPr>
                <w:sz w:val="20"/>
                <w:lang w:val="cs-CZ"/>
              </w:rPr>
              <w:t>povidon</w:t>
            </w:r>
            <w:proofErr w:type="spellEnd"/>
            <w:r>
              <w:rPr>
                <w:sz w:val="20"/>
                <w:lang w:val="cs-CZ"/>
              </w:rPr>
              <w:t xml:space="preserve"> (polyvinylpyrrolidon): 1%</w:t>
            </w:r>
          </w:p>
          <w:p w14:paraId="23311FA9" w14:textId="343983FB" w:rsidR="000113CA" w:rsidRDefault="000113CA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 ricinový olej (</w:t>
            </w:r>
            <w:proofErr w:type="spellStart"/>
            <w:r>
              <w:rPr>
                <w:sz w:val="20"/>
                <w:lang w:val="cs-CZ"/>
              </w:rPr>
              <w:t>glyce</w:t>
            </w:r>
            <w:r w:rsidR="008C2A1D">
              <w:rPr>
                <w:sz w:val="20"/>
                <w:lang w:val="cs-CZ"/>
              </w:rPr>
              <w:t>romakrogol</w:t>
            </w:r>
            <w:proofErr w:type="spellEnd"/>
            <w:r w:rsidR="008C2A1D">
              <w:rPr>
                <w:sz w:val="20"/>
                <w:lang w:val="cs-CZ"/>
              </w:rPr>
              <w:t xml:space="preserve"> – </w:t>
            </w:r>
            <w:proofErr w:type="spellStart"/>
            <w:r w:rsidR="008C2A1D">
              <w:rPr>
                <w:sz w:val="20"/>
                <w:lang w:val="cs-CZ"/>
              </w:rPr>
              <w:t>ricinoleát</w:t>
            </w:r>
            <w:proofErr w:type="spellEnd"/>
            <w:r w:rsidR="008C2A1D">
              <w:rPr>
                <w:sz w:val="20"/>
                <w:lang w:val="cs-CZ"/>
              </w:rPr>
              <w:t>): 2%</w:t>
            </w:r>
          </w:p>
          <w:p w14:paraId="2D565494" w14:textId="4503A4EF" w:rsidR="008C2A1D" w:rsidRDefault="008C2A1D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 klasy kukuřice cukrové: 96,4%</w:t>
            </w:r>
          </w:p>
          <w:p w14:paraId="651E5422" w14:textId="36F4B20A" w:rsidR="007A1BF9" w:rsidRPr="00514C9F" w:rsidRDefault="007A1BF9" w:rsidP="00375D9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Pevná forma</w:t>
            </w:r>
          </w:p>
          <w:p w14:paraId="578E9596" w14:textId="77777777" w:rsidR="007A1BF9" w:rsidRPr="00514C9F" w:rsidRDefault="007A1BF9" w:rsidP="00375D9C">
            <w:pPr>
              <w:rPr>
                <w:sz w:val="20"/>
                <w:lang w:val="cs-CZ"/>
              </w:rPr>
            </w:pPr>
          </w:p>
          <w:p w14:paraId="140D714A" w14:textId="77777777" w:rsidR="007A1BF9" w:rsidRPr="00514C9F" w:rsidRDefault="007A1BF9" w:rsidP="00375D9C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Charakteristika účinné látky:</w:t>
            </w:r>
          </w:p>
          <w:p w14:paraId="62BFD688" w14:textId="54476AC2" w:rsidR="007A1BF9" w:rsidRPr="00514C9F" w:rsidRDefault="001430A6" w:rsidP="00375D9C">
            <w:pPr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Halofuginon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hydrobromid</w:t>
            </w:r>
            <w:proofErr w:type="spellEnd"/>
            <w:r>
              <w:rPr>
                <w:sz w:val="20"/>
                <w:lang w:val="cs-CZ"/>
              </w:rPr>
              <w:t>:</w:t>
            </w:r>
          </w:p>
          <w:p w14:paraId="74961783" w14:textId="064C41EB" w:rsidR="007A1BF9" w:rsidRPr="0080602A" w:rsidRDefault="007A1BF9" w:rsidP="00375D9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C</w:t>
            </w:r>
            <w:r w:rsidR="0080602A">
              <w:rPr>
                <w:sz w:val="20"/>
                <w:vertAlign w:val="subscript"/>
                <w:lang w:val="cs-CZ"/>
              </w:rPr>
              <w:t>16</w:t>
            </w:r>
            <w:r w:rsidRPr="00514C9F">
              <w:rPr>
                <w:sz w:val="20"/>
                <w:lang w:val="cs-CZ"/>
              </w:rPr>
              <w:t>H</w:t>
            </w:r>
            <w:r w:rsidR="0080602A">
              <w:rPr>
                <w:sz w:val="20"/>
                <w:vertAlign w:val="subscript"/>
                <w:lang w:val="cs-CZ"/>
              </w:rPr>
              <w:t>17</w:t>
            </w:r>
            <w:r w:rsidR="0080602A">
              <w:rPr>
                <w:sz w:val="20"/>
                <w:lang w:val="cs-CZ"/>
              </w:rPr>
              <w:t>BrClN</w:t>
            </w:r>
            <w:proofErr w:type="gramStart"/>
            <w:r w:rsidR="0080602A">
              <w:rPr>
                <w:sz w:val="20"/>
                <w:vertAlign w:val="subscript"/>
                <w:lang w:val="cs-CZ"/>
              </w:rPr>
              <w:t>3</w:t>
            </w:r>
            <w:r w:rsidR="002417E8">
              <w:rPr>
                <w:sz w:val="20"/>
                <w:lang w:val="cs-CZ"/>
              </w:rPr>
              <w:t xml:space="preserve"> .</w:t>
            </w:r>
            <w:proofErr w:type="gramEnd"/>
            <w:r w:rsidR="002417E8">
              <w:rPr>
                <w:sz w:val="20"/>
                <w:lang w:val="cs-CZ"/>
              </w:rPr>
              <w:t xml:space="preserve"> </w:t>
            </w:r>
            <w:proofErr w:type="spellStart"/>
            <w:r w:rsidR="002417E8">
              <w:rPr>
                <w:sz w:val="20"/>
                <w:lang w:val="cs-CZ"/>
              </w:rPr>
              <w:t>HBr</w:t>
            </w:r>
            <w:proofErr w:type="spellEnd"/>
          </w:p>
          <w:p w14:paraId="3D110350" w14:textId="4DA19E24" w:rsidR="007A1BF9" w:rsidRPr="00514C9F" w:rsidRDefault="007A1BF9" w:rsidP="00375D9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Číslo CAS: </w:t>
            </w:r>
            <w:r w:rsidR="002417E8">
              <w:rPr>
                <w:sz w:val="20"/>
                <w:lang w:val="cs-CZ"/>
              </w:rPr>
              <w:t>64924</w:t>
            </w:r>
            <w:r w:rsidRPr="00514C9F">
              <w:rPr>
                <w:sz w:val="20"/>
                <w:lang w:val="cs-CZ"/>
              </w:rPr>
              <w:t>-</w:t>
            </w:r>
            <w:r w:rsidR="002417E8">
              <w:rPr>
                <w:sz w:val="20"/>
                <w:lang w:val="cs-CZ"/>
              </w:rPr>
              <w:t>67</w:t>
            </w:r>
            <w:r w:rsidRPr="00514C9F">
              <w:rPr>
                <w:sz w:val="20"/>
                <w:lang w:val="cs-CZ"/>
              </w:rPr>
              <w:t>-</w:t>
            </w:r>
            <w:r w:rsidR="002417E8">
              <w:rPr>
                <w:sz w:val="20"/>
                <w:lang w:val="cs-CZ"/>
              </w:rPr>
              <w:t>0</w:t>
            </w:r>
          </w:p>
          <w:p w14:paraId="7B54D3AC" w14:textId="5D2D167E" w:rsidR="007A1BF9" w:rsidRDefault="007A1BF9" w:rsidP="0080161B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- </w:t>
            </w:r>
            <w:r w:rsidR="0080161B">
              <w:rPr>
                <w:sz w:val="20"/>
                <w:lang w:val="cs-CZ"/>
              </w:rPr>
              <w:t>trans-(</w:t>
            </w:r>
            <w:proofErr w:type="gramStart"/>
            <w:r w:rsidR="0080161B">
              <w:rPr>
                <w:sz w:val="20"/>
                <w:lang w:val="cs-CZ"/>
              </w:rPr>
              <w:t>±)</w:t>
            </w:r>
            <w:r w:rsidR="00C26A68">
              <w:rPr>
                <w:sz w:val="20"/>
                <w:lang w:val="cs-CZ"/>
              </w:rPr>
              <w:t>-</w:t>
            </w:r>
            <w:proofErr w:type="gramEnd"/>
            <w:r w:rsidR="00C26A68">
              <w:rPr>
                <w:sz w:val="20"/>
                <w:lang w:val="cs-CZ"/>
              </w:rPr>
              <w:t>7-brom-6-chlor-3-</w:t>
            </w:r>
            <w:r w:rsidR="00C26A68">
              <w:rPr>
                <w:sz w:val="20"/>
              </w:rPr>
              <w:t>[</w:t>
            </w:r>
            <w:r w:rsidR="008D43C0">
              <w:rPr>
                <w:sz w:val="20"/>
                <w:lang w:val="cs-CZ"/>
              </w:rPr>
              <w:t>3-(3-hydroxy-2-piperidyl)-2-</w:t>
            </w:r>
            <w:r w:rsidR="00464B76">
              <w:rPr>
                <w:sz w:val="20"/>
                <w:lang w:val="cs-CZ"/>
              </w:rPr>
              <w:t>oxopropyl</w:t>
            </w:r>
            <w:r w:rsidR="00464B76">
              <w:rPr>
                <w:sz w:val="20"/>
              </w:rPr>
              <w:t>]</w:t>
            </w:r>
            <w:r w:rsidR="00464B76">
              <w:rPr>
                <w:sz w:val="20"/>
                <w:lang w:val="cs-CZ"/>
              </w:rPr>
              <w:t>-4(3H)</w:t>
            </w:r>
            <w:r w:rsidR="005C7413">
              <w:rPr>
                <w:sz w:val="20"/>
                <w:lang w:val="cs-CZ"/>
              </w:rPr>
              <w:t>-</w:t>
            </w:r>
            <w:proofErr w:type="spellStart"/>
            <w:r w:rsidR="005C7413">
              <w:rPr>
                <w:sz w:val="20"/>
                <w:lang w:val="cs-CZ"/>
              </w:rPr>
              <w:t>chinazolinon</w:t>
            </w:r>
            <w:proofErr w:type="spellEnd"/>
            <w:r w:rsidR="005C7413">
              <w:rPr>
                <w:sz w:val="20"/>
                <w:lang w:val="cs-CZ"/>
              </w:rPr>
              <w:t xml:space="preserve"> </w:t>
            </w:r>
            <w:proofErr w:type="spellStart"/>
            <w:r w:rsidR="005C7413">
              <w:rPr>
                <w:sz w:val="20"/>
                <w:lang w:val="cs-CZ"/>
              </w:rPr>
              <w:t>hydrobromid</w:t>
            </w:r>
            <w:proofErr w:type="spellEnd"/>
          </w:p>
          <w:p w14:paraId="2E4047C7" w14:textId="164DD922" w:rsidR="005A31F5" w:rsidRDefault="00C53FCE" w:rsidP="0080161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 vyroben chemickou syntézou</w:t>
            </w:r>
          </w:p>
          <w:p w14:paraId="45827E87" w14:textId="48206B24" w:rsidR="002D2DAA" w:rsidRDefault="002D2DAA" w:rsidP="0080161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Nečistoty:</w:t>
            </w:r>
          </w:p>
          <w:p w14:paraId="77416D2A" w14:textId="77777777" w:rsidR="00275343" w:rsidRDefault="002D2DAA" w:rsidP="0080161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Cis-izomer </w:t>
            </w:r>
            <w:proofErr w:type="spellStart"/>
            <w:r>
              <w:rPr>
                <w:sz w:val="20"/>
                <w:lang w:val="cs-CZ"/>
              </w:rPr>
              <w:t>halofugino</w:t>
            </w:r>
            <w:r w:rsidR="00120E3C">
              <w:rPr>
                <w:sz w:val="20"/>
                <w:lang w:val="cs-CZ"/>
              </w:rPr>
              <w:t>n</w:t>
            </w:r>
            <w:proofErr w:type="spellEnd"/>
            <w:r w:rsidR="00120E3C">
              <w:rPr>
                <w:sz w:val="20"/>
                <w:lang w:val="cs-CZ"/>
              </w:rPr>
              <w:t xml:space="preserve"> </w:t>
            </w:r>
            <w:proofErr w:type="spellStart"/>
            <w:r w:rsidR="00120E3C">
              <w:rPr>
                <w:sz w:val="20"/>
                <w:lang w:val="cs-CZ"/>
              </w:rPr>
              <w:t>hydrobromidu</w:t>
            </w:r>
            <w:proofErr w:type="spellEnd"/>
            <w:r w:rsidR="00120E3C">
              <w:rPr>
                <w:sz w:val="20"/>
                <w:lang w:val="cs-CZ"/>
              </w:rPr>
              <w:t xml:space="preserve">, </w:t>
            </w:r>
            <w:proofErr w:type="spellStart"/>
            <w:r w:rsidR="00120E3C">
              <w:rPr>
                <w:sz w:val="20"/>
                <w:lang w:val="cs-CZ"/>
              </w:rPr>
              <w:t>cebrazolon</w:t>
            </w:r>
            <w:proofErr w:type="spellEnd"/>
            <w:r w:rsidR="00120E3C">
              <w:rPr>
                <w:sz w:val="20"/>
                <w:lang w:val="cs-CZ"/>
              </w:rPr>
              <w:t xml:space="preserve">, </w:t>
            </w:r>
            <w:proofErr w:type="spellStart"/>
            <w:r w:rsidR="00120E3C">
              <w:rPr>
                <w:sz w:val="20"/>
                <w:lang w:val="cs-CZ"/>
              </w:rPr>
              <w:t>methoxycebegin</w:t>
            </w:r>
            <w:proofErr w:type="spellEnd"/>
            <w:r w:rsidR="00120E3C">
              <w:rPr>
                <w:sz w:val="20"/>
                <w:lang w:val="cs-CZ"/>
              </w:rPr>
              <w:t xml:space="preserve"> a </w:t>
            </w:r>
            <w:proofErr w:type="spellStart"/>
            <w:r w:rsidR="00120E3C">
              <w:rPr>
                <w:sz w:val="20"/>
                <w:lang w:val="cs-CZ"/>
              </w:rPr>
              <w:t>metylcebegin</w:t>
            </w:r>
            <w:proofErr w:type="spellEnd"/>
            <w:r w:rsidR="00120E3C">
              <w:rPr>
                <w:sz w:val="20"/>
                <w:lang w:val="cs-CZ"/>
              </w:rPr>
              <w:t>:</w:t>
            </w:r>
            <w:r w:rsidR="00275343">
              <w:rPr>
                <w:sz w:val="20"/>
                <w:lang w:val="cs-CZ"/>
              </w:rPr>
              <w:t xml:space="preserve"> </w:t>
            </w:r>
          </w:p>
          <w:p w14:paraId="0BE7AD01" w14:textId="5F833ACF" w:rsidR="002D2DAA" w:rsidRDefault="00275343" w:rsidP="0080161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≤ </w:t>
            </w:r>
            <w:proofErr w:type="gramStart"/>
            <w:r>
              <w:rPr>
                <w:sz w:val="20"/>
                <w:lang w:val="cs-CZ"/>
              </w:rPr>
              <w:t>0,5%</w:t>
            </w:r>
            <w:proofErr w:type="gramEnd"/>
            <w:r>
              <w:rPr>
                <w:sz w:val="20"/>
                <w:lang w:val="cs-CZ"/>
              </w:rPr>
              <w:t xml:space="preserve"> pro každou látku</w:t>
            </w:r>
          </w:p>
          <w:p w14:paraId="47A42F11" w14:textId="5FA188FA" w:rsidR="00A9503E" w:rsidRPr="00464B76" w:rsidRDefault="00A9503E" w:rsidP="0080161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Nečistoty celkem: ≤ 1%</w:t>
            </w:r>
          </w:p>
          <w:p w14:paraId="00497A6E" w14:textId="77777777" w:rsidR="007A1BF9" w:rsidRPr="00514C9F" w:rsidRDefault="007A1BF9" w:rsidP="00375D9C">
            <w:pPr>
              <w:rPr>
                <w:sz w:val="20"/>
                <w:lang w:val="cs-CZ"/>
              </w:rPr>
            </w:pPr>
          </w:p>
          <w:p w14:paraId="1DEA74B4" w14:textId="192E8F6B" w:rsidR="007A1BF9" w:rsidRPr="00514C9F" w:rsidRDefault="007A1BF9" w:rsidP="00375D9C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Analytická metoda: *</w:t>
            </w:r>
            <w:r w:rsidR="007A5B9B">
              <w:rPr>
                <w:b/>
                <w:sz w:val="20"/>
                <w:lang w:val="cs-CZ"/>
              </w:rPr>
              <w:t>*</w:t>
            </w:r>
          </w:p>
          <w:p w14:paraId="25A5EB10" w14:textId="77777777" w:rsidR="007A1BF9" w:rsidRDefault="00B836A1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Pro stanovení </w:t>
            </w:r>
            <w:proofErr w:type="spellStart"/>
            <w:r>
              <w:rPr>
                <w:sz w:val="20"/>
                <w:lang w:val="cs-CZ"/>
              </w:rPr>
              <w:t>halofuginon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hydrobromidu</w:t>
            </w:r>
            <w:proofErr w:type="spellEnd"/>
            <w:r>
              <w:rPr>
                <w:sz w:val="20"/>
                <w:lang w:val="cs-CZ"/>
              </w:rPr>
              <w:t xml:space="preserve"> v doplňkové látce a </w:t>
            </w:r>
            <w:proofErr w:type="spellStart"/>
            <w:r>
              <w:rPr>
                <w:sz w:val="20"/>
                <w:lang w:val="cs-CZ"/>
              </w:rPr>
              <w:t>premixech</w:t>
            </w:r>
            <w:proofErr w:type="spellEnd"/>
            <w:r>
              <w:rPr>
                <w:sz w:val="20"/>
                <w:lang w:val="cs-CZ"/>
              </w:rPr>
              <w:t>:</w:t>
            </w:r>
          </w:p>
          <w:p w14:paraId="1E7E58AD" w14:textId="77777777" w:rsidR="00B836A1" w:rsidRDefault="00943015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 vysokoúčinná kapalinová chromatografie s fotometrickou detekcí (HP</w:t>
            </w:r>
            <w:r w:rsidR="001D15D8">
              <w:rPr>
                <w:sz w:val="20"/>
                <w:lang w:val="cs-CZ"/>
              </w:rPr>
              <w:t>LC-UV)</w:t>
            </w:r>
          </w:p>
          <w:p w14:paraId="7BC2D07C" w14:textId="77777777" w:rsidR="001D15D8" w:rsidRDefault="001D15D8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Pro stanovení </w:t>
            </w:r>
            <w:proofErr w:type="spellStart"/>
            <w:r>
              <w:rPr>
                <w:sz w:val="20"/>
                <w:lang w:val="cs-CZ"/>
              </w:rPr>
              <w:t>halofuginon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hydrobromidu</w:t>
            </w:r>
            <w:proofErr w:type="spellEnd"/>
            <w:r>
              <w:rPr>
                <w:sz w:val="20"/>
                <w:lang w:val="cs-CZ"/>
              </w:rPr>
              <w:t xml:space="preserve"> v krmných směsích:</w:t>
            </w:r>
          </w:p>
          <w:p w14:paraId="0CCD7105" w14:textId="77777777" w:rsidR="001D15D8" w:rsidRDefault="00916B1C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 vysokoúčinná kapalinová chromatografie s fotometrickou detekcí (HPLC-UV) – nařízení Komise (ES) č. 152/2009</w:t>
            </w:r>
            <w:r w:rsidR="00FA7755">
              <w:rPr>
                <w:sz w:val="20"/>
                <w:lang w:val="cs-CZ"/>
              </w:rPr>
              <w:t xml:space="preserve"> (∑) nebo</w:t>
            </w:r>
          </w:p>
          <w:p w14:paraId="72C9F98E" w14:textId="77777777" w:rsidR="00FA7755" w:rsidRDefault="00FA7755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 kombinace vysokoúčinné kapalinové chromatografie a tandemové hmotnostní spektrometrie (LC-MS/MS) – EN 17</w:t>
            </w:r>
            <w:r w:rsidR="00B02A49">
              <w:rPr>
                <w:sz w:val="20"/>
                <w:lang w:val="cs-CZ"/>
              </w:rPr>
              <w:t>299.</w:t>
            </w:r>
          </w:p>
          <w:p w14:paraId="6B88B353" w14:textId="77777777" w:rsidR="00B02A49" w:rsidRDefault="00B02A49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Pro stanovení </w:t>
            </w:r>
            <w:proofErr w:type="spellStart"/>
            <w:r>
              <w:rPr>
                <w:sz w:val="20"/>
                <w:lang w:val="cs-CZ"/>
              </w:rPr>
              <w:t>halofuginon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hydrobromidu</w:t>
            </w:r>
            <w:proofErr w:type="spellEnd"/>
            <w:r>
              <w:rPr>
                <w:sz w:val="20"/>
                <w:lang w:val="cs-CZ"/>
              </w:rPr>
              <w:t xml:space="preserve"> ve tkáních:</w:t>
            </w:r>
          </w:p>
          <w:p w14:paraId="15FD8246" w14:textId="23323B56" w:rsidR="00B02A49" w:rsidRPr="00514C9F" w:rsidRDefault="00B02A49" w:rsidP="00375D9C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Vysokoúčinná kapalinová chromatografie s tandemovou hmotnostní spektro</w:t>
            </w:r>
            <w:r w:rsidR="00096607">
              <w:rPr>
                <w:sz w:val="20"/>
                <w:lang w:val="cs-CZ"/>
              </w:rPr>
              <w:t>metrií (LC-MS/MS).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350329" w14:textId="18523304" w:rsidR="007A1BF9" w:rsidRDefault="007A1BF9" w:rsidP="00375D9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lastRenderedPageBreak/>
              <w:t xml:space="preserve">Výkrm kuřat </w:t>
            </w:r>
            <w:r w:rsidR="00BB1118">
              <w:rPr>
                <w:sz w:val="20"/>
                <w:vertAlign w:val="superscript"/>
                <w:lang w:val="cs-CZ"/>
              </w:rPr>
              <w:t>63</w:t>
            </w:r>
            <w:r w:rsidRPr="00514C9F">
              <w:rPr>
                <w:sz w:val="20"/>
                <w:vertAlign w:val="superscript"/>
                <w:lang w:val="cs-CZ"/>
              </w:rPr>
              <w:t>)</w:t>
            </w:r>
          </w:p>
          <w:p w14:paraId="2006AC86" w14:textId="77777777" w:rsidR="001F69E0" w:rsidRDefault="001F69E0" w:rsidP="00375D9C">
            <w:pPr>
              <w:rPr>
                <w:sz w:val="20"/>
                <w:lang w:val="cs-CZ"/>
              </w:rPr>
            </w:pPr>
          </w:p>
          <w:p w14:paraId="1666E03A" w14:textId="58625E8E" w:rsidR="001F69E0" w:rsidRPr="00BB1118" w:rsidRDefault="001F69E0" w:rsidP="00375D9C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Výkrm krůt</w:t>
            </w:r>
            <w:r w:rsidR="00BB1118">
              <w:rPr>
                <w:sz w:val="20"/>
                <w:lang w:val="cs-CZ"/>
              </w:rPr>
              <w:t xml:space="preserve"> </w:t>
            </w:r>
            <w:r w:rsidR="00BB1118">
              <w:rPr>
                <w:sz w:val="20"/>
                <w:vertAlign w:val="superscript"/>
                <w:lang w:val="cs-CZ"/>
              </w:rPr>
              <w:t>63)</w:t>
            </w:r>
          </w:p>
          <w:p w14:paraId="4A0FF315" w14:textId="77777777" w:rsidR="001F69E0" w:rsidRDefault="001F69E0" w:rsidP="00375D9C">
            <w:pPr>
              <w:rPr>
                <w:sz w:val="20"/>
                <w:lang w:val="cs-CZ"/>
              </w:rPr>
            </w:pPr>
          </w:p>
          <w:p w14:paraId="397B6C8E" w14:textId="50D24447" w:rsidR="001F69E0" w:rsidRPr="00BB1118" w:rsidRDefault="00EE43D4" w:rsidP="00375D9C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Odchov krůt</w:t>
            </w:r>
            <w:r w:rsidR="00BB1118">
              <w:rPr>
                <w:sz w:val="20"/>
                <w:lang w:val="cs-CZ"/>
              </w:rPr>
              <w:t xml:space="preserve"> </w:t>
            </w:r>
            <w:r w:rsidR="00BB1118">
              <w:rPr>
                <w:sz w:val="20"/>
                <w:vertAlign w:val="superscript"/>
                <w:lang w:val="cs-CZ"/>
              </w:rPr>
              <w:t>63)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DAD9FD" w14:textId="77777777" w:rsidR="007A1BF9" w:rsidRPr="00EE43D4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EE43D4">
              <w:rPr>
                <w:sz w:val="20"/>
                <w:szCs w:val="20"/>
                <w:lang w:val="cs-CZ"/>
              </w:rPr>
              <w:t>-</w:t>
            </w:r>
          </w:p>
          <w:p w14:paraId="36649A9A" w14:textId="77777777" w:rsidR="00EE43D4" w:rsidRPr="00EE43D4" w:rsidRDefault="00EE43D4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B5487DE" w14:textId="77777777" w:rsidR="00EE43D4" w:rsidRPr="00EE43D4" w:rsidRDefault="00EE43D4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5A916F4" w14:textId="77777777" w:rsidR="00EE43D4" w:rsidRDefault="00EE43D4" w:rsidP="00375D9C">
            <w:pPr>
              <w:jc w:val="center"/>
              <w:rPr>
                <w:sz w:val="20"/>
                <w:szCs w:val="20"/>
                <w:lang w:val="cs-CZ"/>
              </w:rPr>
            </w:pPr>
            <w:r w:rsidRPr="00EE43D4">
              <w:rPr>
                <w:sz w:val="20"/>
                <w:szCs w:val="20"/>
                <w:lang w:val="cs-CZ"/>
              </w:rPr>
              <w:t>12 týdnů</w:t>
            </w:r>
          </w:p>
          <w:p w14:paraId="17E85491" w14:textId="77777777" w:rsidR="0028320E" w:rsidRDefault="0028320E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AD22E48" w14:textId="77777777" w:rsidR="0028320E" w:rsidRDefault="0028320E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F00551B" w14:textId="0D05748E" w:rsidR="0028320E" w:rsidRPr="00EE43D4" w:rsidRDefault="0028320E" w:rsidP="00375D9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 týdnů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CDDEA0" w14:textId="08CF1DBB" w:rsidR="007A1BF9" w:rsidRPr="00514C9F" w:rsidRDefault="003548BB" w:rsidP="00375D9C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E27698" w14:textId="723872FD" w:rsidR="007A1BF9" w:rsidRPr="00514C9F" w:rsidRDefault="003548BB" w:rsidP="00375D9C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9A0DBB" w14:textId="13ED0216" w:rsidR="007A1BF9" w:rsidRPr="00620D02" w:rsidRDefault="00620D02" w:rsidP="00620D02">
            <w:pPr>
              <w:ind w:left="113" w:hanging="113"/>
              <w:rPr>
                <w:sz w:val="20"/>
                <w:lang w:val="cs-CZ"/>
              </w:rPr>
            </w:pPr>
            <w:r w:rsidRPr="00620D02">
              <w:rPr>
                <w:sz w:val="20"/>
                <w:lang w:val="cs-CZ"/>
              </w:rPr>
              <w:t>1.</w:t>
            </w:r>
            <w:r>
              <w:rPr>
                <w:sz w:val="20"/>
                <w:lang w:val="cs-CZ"/>
              </w:rPr>
              <w:t xml:space="preserve"> </w:t>
            </w:r>
            <w:r w:rsidR="007A1BF9" w:rsidRPr="00620D02">
              <w:rPr>
                <w:sz w:val="20"/>
                <w:lang w:val="cs-CZ"/>
              </w:rPr>
              <w:t xml:space="preserve">V návodu </w:t>
            </w:r>
            <w:r>
              <w:rPr>
                <w:sz w:val="20"/>
                <w:lang w:val="cs-CZ"/>
              </w:rPr>
              <w:t>pro</w:t>
            </w:r>
            <w:r w:rsidR="007A1BF9" w:rsidRPr="00620D02">
              <w:rPr>
                <w:sz w:val="20"/>
                <w:lang w:val="cs-CZ"/>
              </w:rPr>
              <w:t xml:space="preserve"> použití </w:t>
            </w:r>
            <w:r>
              <w:rPr>
                <w:sz w:val="20"/>
                <w:lang w:val="cs-CZ"/>
              </w:rPr>
              <w:t xml:space="preserve">doplňkové látky a </w:t>
            </w:r>
            <w:proofErr w:type="spellStart"/>
            <w:r>
              <w:rPr>
                <w:sz w:val="20"/>
                <w:lang w:val="cs-CZ"/>
              </w:rPr>
              <w:t>premixu</w:t>
            </w:r>
            <w:proofErr w:type="spellEnd"/>
            <w:r w:rsidR="00B20844">
              <w:rPr>
                <w:sz w:val="20"/>
                <w:lang w:val="cs-CZ"/>
              </w:rPr>
              <w:t xml:space="preserve"> </w:t>
            </w:r>
            <w:r w:rsidR="007A1BF9" w:rsidRPr="00620D02">
              <w:rPr>
                <w:sz w:val="20"/>
                <w:lang w:val="cs-CZ"/>
              </w:rPr>
              <w:t>musí být uveden</w:t>
            </w:r>
            <w:r w:rsidR="00B20844">
              <w:rPr>
                <w:sz w:val="20"/>
                <w:lang w:val="cs-CZ"/>
              </w:rPr>
              <w:t>y podmínky skladování a stabilita</w:t>
            </w:r>
            <w:r w:rsidR="007F1980">
              <w:rPr>
                <w:sz w:val="20"/>
                <w:lang w:val="cs-CZ"/>
              </w:rPr>
              <w:t xml:space="preserve"> při tepelném ošetření</w:t>
            </w:r>
            <w:r w:rsidR="007A1BF9" w:rsidRPr="00620D02">
              <w:rPr>
                <w:sz w:val="20"/>
                <w:lang w:val="cs-CZ"/>
              </w:rPr>
              <w:t>:</w:t>
            </w:r>
          </w:p>
          <w:p w14:paraId="0B70169B" w14:textId="78D9E0CB" w:rsidR="007A1BF9" w:rsidRPr="00514C9F" w:rsidRDefault="007F1980" w:rsidP="00375D9C">
            <w:pPr>
              <w:ind w:left="113" w:hanging="11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</w:t>
            </w:r>
            <w:r w:rsidR="007A1BF9" w:rsidRPr="00514C9F">
              <w:rPr>
                <w:sz w:val="20"/>
                <w:lang w:val="cs-CZ"/>
              </w:rPr>
              <w:t xml:space="preserve">. </w:t>
            </w:r>
            <w:r>
              <w:rPr>
                <w:sz w:val="20"/>
                <w:lang w:val="cs-CZ"/>
              </w:rPr>
              <w:t>Ochranná lhůta nejméně 3 dny před porážkou</w:t>
            </w:r>
          </w:p>
          <w:p w14:paraId="661FF047" w14:textId="555EE31C" w:rsidR="007A1BF9" w:rsidRDefault="00EA1248" w:rsidP="00375D9C">
            <w:pPr>
              <w:ind w:left="113" w:hanging="11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  <w:r w:rsidR="007A1BF9" w:rsidRPr="00514C9F">
              <w:rPr>
                <w:sz w:val="20"/>
                <w:lang w:val="cs-CZ"/>
              </w:rPr>
              <w:t xml:space="preserve">. </w:t>
            </w:r>
            <w:r>
              <w:rPr>
                <w:sz w:val="20"/>
                <w:lang w:val="cs-CZ"/>
              </w:rPr>
              <w:t xml:space="preserve">Doplňková látka se do krmné směsi musí zapracovat ve formě </w:t>
            </w:r>
            <w:proofErr w:type="spellStart"/>
            <w:r>
              <w:rPr>
                <w:sz w:val="20"/>
                <w:lang w:val="cs-CZ"/>
              </w:rPr>
              <w:t>premixu</w:t>
            </w:r>
            <w:proofErr w:type="spellEnd"/>
          </w:p>
          <w:p w14:paraId="7251C7EE" w14:textId="016C5D58" w:rsidR="007A1BF9" w:rsidRDefault="00EA1248" w:rsidP="00375D9C">
            <w:pPr>
              <w:ind w:left="113" w:hanging="11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</w:t>
            </w:r>
            <w:r w:rsidR="007A1BF9">
              <w:rPr>
                <w:sz w:val="20"/>
                <w:lang w:val="cs-CZ"/>
              </w:rPr>
              <w:t xml:space="preserve">. </w:t>
            </w:r>
            <w:proofErr w:type="spellStart"/>
            <w:r>
              <w:rPr>
                <w:sz w:val="20"/>
                <w:lang w:val="cs-CZ"/>
              </w:rPr>
              <w:t>Halofuginon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hydrobromid</w:t>
            </w:r>
            <w:proofErr w:type="spellEnd"/>
            <w:r>
              <w:rPr>
                <w:sz w:val="20"/>
                <w:lang w:val="cs-CZ"/>
              </w:rPr>
              <w:t xml:space="preserve"> se nesmí mísit s jinými </w:t>
            </w:r>
            <w:proofErr w:type="spellStart"/>
            <w:r>
              <w:rPr>
                <w:sz w:val="20"/>
                <w:lang w:val="cs-CZ"/>
              </w:rPr>
              <w:t>kokcidiostatiky</w:t>
            </w:r>
            <w:proofErr w:type="spellEnd"/>
          </w:p>
          <w:p w14:paraId="0007C0BA" w14:textId="523E2EC2" w:rsidR="00CF4C24" w:rsidRPr="002C72BF" w:rsidRDefault="00CF4C24" w:rsidP="00375D9C">
            <w:pPr>
              <w:ind w:left="113" w:hanging="11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5. Držitel povolení naplánuje a provede program monitorování po uvedení</w:t>
            </w:r>
            <w:r w:rsidR="002C72BF">
              <w:rPr>
                <w:sz w:val="20"/>
                <w:lang w:val="cs-CZ"/>
              </w:rPr>
              <w:t xml:space="preserve"> na trh týkající se rezistence </w:t>
            </w:r>
            <w:proofErr w:type="spellStart"/>
            <w:r w:rsidR="002C72BF">
              <w:rPr>
                <w:i/>
                <w:iCs/>
                <w:sz w:val="20"/>
                <w:lang w:val="cs-CZ"/>
              </w:rPr>
              <w:t>Eimeria</w:t>
            </w:r>
            <w:proofErr w:type="spellEnd"/>
            <w:r w:rsidR="002C72BF">
              <w:rPr>
                <w:sz w:val="20"/>
                <w:lang w:val="cs-CZ"/>
              </w:rPr>
              <w:t xml:space="preserve"> </w:t>
            </w:r>
            <w:proofErr w:type="spellStart"/>
            <w:r w:rsidR="002C72BF">
              <w:rPr>
                <w:sz w:val="20"/>
                <w:lang w:val="cs-CZ"/>
              </w:rPr>
              <w:t>spp</w:t>
            </w:r>
            <w:proofErr w:type="spellEnd"/>
            <w:r w:rsidR="002C72BF">
              <w:rPr>
                <w:sz w:val="20"/>
                <w:lang w:val="cs-CZ"/>
              </w:rPr>
              <w:t xml:space="preserve">. vůči </w:t>
            </w:r>
            <w:proofErr w:type="spellStart"/>
            <w:r w:rsidR="00486E8D">
              <w:rPr>
                <w:sz w:val="20"/>
                <w:lang w:val="cs-CZ"/>
              </w:rPr>
              <w:t>halofuginon</w:t>
            </w:r>
            <w:proofErr w:type="spellEnd"/>
            <w:r w:rsidR="00486E8D">
              <w:rPr>
                <w:sz w:val="20"/>
                <w:lang w:val="cs-CZ"/>
              </w:rPr>
              <w:t xml:space="preserve"> </w:t>
            </w:r>
            <w:proofErr w:type="spellStart"/>
            <w:r w:rsidR="00486E8D">
              <w:rPr>
                <w:sz w:val="20"/>
                <w:lang w:val="cs-CZ"/>
              </w:rPr>
              <w:t>hydrobromidu</w:t>
            </w:r>
            <w:proofErr w:type="spellEnd"/>
            <w:r w:rsidR="00486E8D">
              <w:rPr>
                <w:sz w:val="20"/>
                <w:lang w:val="cs-CZ"/>
              </w:rPr>
              <w:t xml:space="preserve"> v souladu s nařízením </w:t>
            </w:r>
            <w:r w:rsidR="00486E8D">
              <w:rPr>
                <w:sz w:val="20"/>
                <w:lang w:val="cs-CZ"/>
              </w:rPr>
              <w:lastRenderedPageBreak/>
              <w:t>Komise (ES) č. 429/2008 (£</w:t>
            </w:r>
            <w:r w:rsidR="004D1009">
              <w:rPr>
                <w:sz w:val="20"/>
                <w:lang w:val="cs-CZ"/>
              </w:rPr>
              <w:t>)</w:t>
            </w:r>
          </w:p>
          <w:p w14:paraId="466FE421" w14:textId="331357A6" w:rsidR="007A1BF9" w:rsidRPr="00514C9F" w:rsidRDefault="007A1BF9" w:rsidP="00375D9C">
            <w:pPr>
              <w:ind w:left="113" w:hanging="11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6. 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</w:t>
            </w:r>
            <w:r w:rsidR="00A67C88">
              <w:rPr>
                <w:sz w:val="20"/>
                <w:lang w:val="cs-CZ"/>
              </w:rPr>
              <w:t>é</w:t>
            </w:r>
            <w:r>
              <w:rPr>
                <w:sz w:val="20"/>
                <w:lang w:val="cs-CZ"/>
              </w:rPr>
              <w:t xml:space="preserve"> budou řešit případná rizika vyplývající z jejich použití. Pokud </w:t>
            </w:r>
            <w:r w:rsidR="00A67C88">
              <w:rPr>
                <w:sz w:val="20"/>
                <w:lang w:val="cs-CZ"/>
              </w:rPr>
              <w:t xml:space="preserve">uvedená </w:t>
            </w:r>
            <w:r>
              <w:rPr>
                <w:sz w:val="20"/>
                <w:lang w:val="cs-CZ"/>
              </w:rPr>
              <w:t xml:space="preserve">rizika nelze těmito postupy a opatřeními vyloučit,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</w:t>
            </w:r>
            <w:r w:rsidR="00B04471">
              <w:rPr>
                <w:sz w:val="20"/>
                <w:lang w:val="cs-CZ"/>
              </w:rPr>
              <w:t>osobními</w:t>
            </w:r>
            <w:r>
              <w:rPr>
                <w:sz w:val="20"/>
                <w:lang w:val="cs-CZ"/>
              </w:rPr>
              <w:t xml:space="preserve"> ochrannými prostředky</w:t>
            </w:r>
            <w:r w:rsidR="000835E2">
              <w:rPr>
                <w:sz w:val="20"/>
                <w:lang w:val="cs-CZ"/>
              </w:rPr>
              <w:t xml:space="preserve"> </w:t>
            </w:r>
            <w:r w:rsidR="00B04471">
              <w:rPr>
                <w:sz w:val="20"/>
                <w:lang w:val="cs-CZ"/>
              </w:rPr>
              <w:t>k ochraně</w:t>
            </w:r>
            <w:r>
              <w:rPr>
                <w:sz w:val="20"/>
                <w:lang w:val="cs-CZ"/>
              </w:rPr>
              <w:t xml:space="preserve"> dýchacích cest, očí a </w:t>
            </w:r>
            <w:r w:rsidR="000835E2">
              <w:rPr>
                <w:sz w:val="20"/>
                <w:lang w:val="cs-CZ"/>
              </w:rPr>
              <w:t>kůže</w:t>
            </w:r>
            <w:r>
              <w:rPr>
                <w:sz w:val="20"/>
                <w:lang w:val="cs-CZ"/>
              </w:rPr>
              <w:t>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8FAAC4" w14:textId="2DE4B582" w:rsidR="007A1BF9" w:rsidRPr="00514C9F" w:rsidRDefault="00D8237B" w:rsidP="00375D9C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4</w:t>
            </w:r>
            <w:r w:rsidR="007A1BF9" w:rsidRPr="00514C9F">
              <w:rPr>
                <w:sz w:val="20"/>
                <w:lang w:val="cs-CZ"/>
              </w:rPr>
              <w:t>.</w:t>
            </w:r>
            <w:r>
              <w:rPr>
                <w:sz w:val="20"/>
                <w:lang w:val="cs-CZ"/>
              </w:rPr>
              <w:t>2</w:t>
            </w:r>
            <w:r w:rsidR="007A1BF9" w:rsidRPr="00514C9F">
              <w:rPr>
                <w:sz w:val="20"/>
                <w:lang w:val="cs-CZ"/>
              </w:rPr>
              <w:t>.20</w:t>
            </w:r>
            <w:r>
              <w:rPr>
                <w:sz w:val="20"/>
                <w:lang w:val="cs-CZ"/>
              </w:rPr>
              <w:t>34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1B9706CF" w14:textId="2618B30E" w:rsidR="007A1BF9" w:rsidRDefault="007A1BF9" w:rsidP="00375D9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50 µg </w:t>
            </w:r>
            <w:proofErr w:type="spellStart"/>
            <w:r w:rsidR="00F71E20">
              <w:rPr>
                <w:sz w:val="20"/>
                <w:szCs w:val="20"/>
                <w:lang w:val="cs-CZ"/>
              </w:rPr>
              <w:t>halofuginonu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/kg jater</w:t>
            </w:r>
            <w:r w:rsidR="00F71E20">
              <w:rPr>
                <w:sz w:val="20"/>
                <w:szCs w:val="20"/>
                <w:lang w:val="cs-CZ"/>
              </w:rPr>
              <w:t xml:space="preserve"> v syrovém stavu</w:t>
            </w:r>
          </w:p>
          <w:p w14:paraId="06783B53" w14:textId="77777777" w:rsidR="00AB56DE" w:rsidRPr="00514C9F" w:rsidRDefault="00AB56DE" w:rsidP="00375D9C">
            <w:pPr>
              <w:rPr>
                <w:sz w:val="20"/>
                <w:szCs w:val="20"/>
                <w:lang w:val="cs-CZ"/>
              </w:rPr>
            </w:pPr>
          </w:p>
          <w:p w14:paraId="0BECF25E" w14:textId="0797BB6D" w:rsidR="007A1BF9" w:rsidRDefault="007A1BF9" w:rsidP="00375D9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40 µg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s</w:t>
            </w:r>
            <w:r w:rsidR="00AB56DE">
              <w:rPr>
                <w:sz w:val="20"/>
                <w:szCs w:val="20"/>
                <w:lang w:val="cs-CZ"/>
              </w:rPr>
              <w:t>halofuginonu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/kg ledvin</w:t>
            </w:r>
            <w:r w:rsidR="00AB56DE">
              <w:rPr>
                <w:sz w:val="20"/>
                <w:szCs w:val="20"/>
                <w:lang w:val="cs-CZ"/>
              </w:rPr>
              <w:t xml:space="preserve"> v syrovém stavu</w:t>
            </w:r>
          </w:p>
          <w:p w14:paraId="431A4E79" w14:textId="77777777" w:rsidR="00AB56DE" w:rsidRPr="00514C9F" w:rsidRDefault="00AB56DE" w:rsidP="00375D9C">
            <w:pPr>
              <w:rPr>
                <w:sz w:val="20"/>
                <w:szCs w:val="20"/>
                <w:lang w:val="cs-CZ"/>
              </w:rPr>
            </w:pPr>
          </w:p>
          <w:p w14:paraId="624B0A13" w14:textId="77777777" w:rsidR="00E56C6E" w:rsidRDefault="00AB56DE" w:rsidP="00375D9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7A1BF9" w:rsidRPr="00514C9F">
              <w:rPr>
                <w:sz w:val="20"/>
                <w:szCs w:val="20"/>
                <w:lang w:val="cs-CZ"/>
              </w:rPr>
              <w:t xml:space="preserve"> µg </w:t>
            </w:r>
            <w:proofErr w:type="spellStart"/>
            <w:r>
              <w:rPr>
                <w:sz w:val="20"/>
                <w:szCs w:val="20"/>
                <w:lang w:val="cs-CZ"/>
              </w:rPr>
              <w:t>halofuginonu</w:t>
            </w:r>
            <w:proofErr w:type="spellEnd"/>
            <w:r w:rsidR="007A1BF9" w:rsidRPr="00514C9F">
              <w:rPr>
                <w:sz w:val="20"/>
                <w:szCs w:val="20"/>
                <w:lang w:val="cs-CZ"/>
              </w:rPr>
              <w:t xml:space="preserve">/kg svaloviny </w:t>
            </w:r>
            <w:r>
              <w:rPr>
                <w:sz w:val="20"/>
                <w:szCs w:val="20"/>
                <w:lang w:val="cs-CZ"/>
              </w:rPr>
              <w:t>v syrovém stavu</w:t>
            </w:r>
          </w:p>
          <w:p w14:paraId="1C1AB859" w14:textId="10BDF41F" w:rsidR="007A1BF9" w:rsidRPr="00514C9F" w:rsidRDefault="007A1BF9" w:rsidP="00375D9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 </w:t>
            </w:r>
          </w:p>
          <w:p w14:paraId="481EEAA6" w14:textId="3CD669F5" w:rsidR="007A1BF9" w:rsidRPr="00514C9F" w:rsidRDefault="007A1BF9" w:rsidP="00375D9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10 µg </w:t>
            </w:r>
            <w:proofErr w:type="spellStart"/>
            <w:r w:rsidR="00E56C6E">
              <w:rPr>
                <w:sz w:val="20"/>
                <w:szCs w:val="20"/>
                <w:lang w:val="cs-CZ"/>
              </w:rPr>
              <w:t>halofuginonu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/kg kůže</w:t>
            </w:r>
            <w:r w:rsidR="00E56C6E">
              <w:rPr>
                <w:sz w:val="20"/>
                <w:szCs w:val="20"/>
                <w:lang w:val="cs-CZ"/>
              </w:rPr>
              <w:t>/</w:t>
            </w:r>
            <w:r w:rsidRPr="00514C9F">
              <w:rPr>
                <w:sz w:val="20"/>
                <w:szCs w:val="20"/>
                <w:lang w:val="cs-CZ"/>
              </w:rPr>
              <w:t>tuku</w:t>
            </w:r>
            <w:r w:rsidR="00E56C6E">
              <w:rPr>
                <w:sz w:val="20"/>
                <w:szCs w:val="20"/>
                <w:lang w:val="cs-CZ"/>
              </w:rPr>
              <w:t xml:space="preserve"> v syrovém stavu</w:t>
            </w:r>
          </w:p>
        </w:tc>
      </w:tr>
      <w:tr w:rsidR="007A1BF9" w:rsidRPr="00514C9F" w14:paraId="2852FF6B" w14:textId="77777777" w:rsidTr="00BB454A">
        <w:trPr>
          <w:trHeight w:val="5632"/>
        </w:trPr>
        <w:tc>
          <w:tcPr>
            <w:tcW w:w="897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BAF7A81" w14:textId="77777777" w:rsidR="007A1BF9" w:rsidRPr="00514C9F" w:rsidRDefault="007A1BF9" w:rsidP="00375D9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FB5492" w14:textId="77777777" w:rsidR="007A1BF9" w:rsidRPr="00514C9F" w:rsidRDefault="007A1BF9" w:rsidP="00375D9C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5E8373D" w14:textId="77777777" w:rsidR="007A1BF9" w:rsidRPr="00514C9F" w:rsidRDefault="007A1BF9" w:rsidP="00375D9C">
            <w:pPr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89BDC9A" w14:textId="77777777" w:rsidR="007A1BF9" w:rsidRPr="00514C9F" w:rsidRDefault="007A1BF9" w:rsidP="00375D9C">
            <w:pPr>
              <w:rPr>
                <w:b/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E6AD7B0" w14:textId="4130F6D8" w:rsidR="007A1BF9" w:rsidRPr="00514C9F" w:rsidRDefault="007A1BF9" w:rsidP="00375D9C">
            <w:pPr>
              <w:rPr>
                <w:sz w:val="20"/>
                <w:vertAlign w:val="superscript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3E1494F" w14:textId="48F80963" w:rsidR="007A1BF9" w:rsidRPr="00514C9F" w:rsidRDefault="007A1BF9" w:rsidP="00375D9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C65BC1" w14:textId="6E8CEC1C" w:rsidR="007A1BF9" w:rsidRPr="00514C9F" w:rsidRDefault="007A1BF9" w:rsidP="00375D9C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8BABEEC" w14:textId="2F4AE383" w:rsidR="007A1BF9" w:rsidRPr="00514C9F" w:rsidRDefault="007A1BF9" w:rsidP="00375D9C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F3B4C55" w14:textId="77777777" w:rsidR="007A1BF9" w:rsidRPr="00514C9F" w:rsidRDefault="007A1BF9" w:rsidP="00375D9C">
            <w:pPr>
              <w:rPr>
                <w:sz w:val="20"/>
                <w:lang w:val="cs-CZ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0EC489A" w14:textId="77777777" w:rsidR="007A1BF9" w:rsidRPr="00514C9F" w:rsidRDefault="007A1BF9" w:rsidP="00375D9C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14:paraId="03A9E8C2" w14:textId="77777777" w:rsidR="007A1BF9" w:rsidRPr="00514C9F" w:rsidRDefault="007A1BF9" w:rsidP="00375D9C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688CBCEE" w14:textId="31B8EC54" w:rsidR="00BB454A" w:rsidRPr="00CE3651" w:rsidRDefault="00BB454A">
      <w:pPr>
        <w:spacing w:after="160" w:line="259" w:lineRule="auto"/>
        <w:rPr>
          <w:color w:val="000000"/>
          <w:sz w:val="20"/>
          <w:szCs w:val="20"/>
          <w:lang w:val="cs-CZ"/>
        </w:rPr>
      </w:pPr>
      <w:r w:rsidRPr="00CE3651">
        <w:rPr>
          <w:color w:val="000000"/>
          <w:sz w:val="20"/>
          <w:szCs w:val="20"/>
          <w:lang w:val="cs-CZ"/>
        </w:rPr>
        <w:t xml:space="preserve">∑ … </w:t>
      </w:r>
      <w:r w:rsidR="00D826C8" w:rsidRPr="00CE3651">
        <w:rPr>
          <w:color w:val="000000"/>
          <w:sz w:val="20"/>
          <w:szCs w:val="20"/>
          <w:lang w:val="cs-CZ"/>
        </w:rPr>
        <w:t xml:space="preserve">Nařízení Komise č. 152/2009 ze dne 27. ledna 2009, kterým se stanoví </w:t>
      </w:r>
      <w:r w:rsidR="00415712" w:rsidRPr="00CE3651">
        <w:rPr>
          <w:color w:val="000000"/>
          <w:sz w:val="20"/>
          <w:szCs w:val="20"/>
          <w:lang w:val="cs-CZ"/>
        </w:rPr>
        <w:t>metody odběru vzorků a laboratorního zkoušení pro úřední kontrolu krmiv (</w:t>
      </w:r>
      <w:proofErr w:type="spellStart"/>
      <w:r w:rsidR="00415712" w:rsidRPr="00CE3651">
        <w:rPr>
          <w:color w:val="000000"/>
          <w:sz w:val="20"/>
          <w:szCs w:val="20"/>
          <w:lang w:val="cs-CZ"/>
        </w:rPr>
        <w:t>Úř</w:t>
      </w:r>
      <w:proofErr w:type="spellEnd"/>
      <w:r w:rsidR="00415712" w:rsidRPr="00CE3651">
        <w:rPr>
          <w:color w:val="000000"/>
          <w:sz w:val="20"/>
          <w:szCs w:val="20"/>
          <w:lang w:val="cs-CZ"/>
        </w:rPr>
        <w:t xml:space="preserve">. </w:t>
      </w:r>
      <w:proofErr w:type="spellStart"/>
      <w:r w:rsidR="00415712" w:rsidRPr="00CE3651">
        <w:rPr>
          <w:color w:val="000000"/>
          <w:sz w:val="20"/>
          <w:szCs w:val="20"/>
          <w:lang w:val="cs-CZ"/>
        </w:rPr>
        <w:t>Věst</w:t>
      </w:r>
      <w:proofErr w:type="spellEnd"/>
      <w:r w:rsidR="00415712" w:rsidRPr="00CE3651">
        <w:rPr>
          <w:color w:val="000000"/>
          <w:sz w:val="20"/>
          <w:szCs w:val="20"/>
          <w:lang w:val="cs-CZ"/>
        </w:rPr>
        <w:t>. L 54, 26.2.2009, s. 1)</w:t>
      </w:r>
    </w:p>
    <w:p w14:paraId="37B1AF21" w14:textId="2383E22D" w:rsidR="007A1BF9" w:rsidRPr="00CE3651" w:rsidRDefault="00227D23">
      <w:pPr>
        <w:spacing w:after="160" w:line="259" w:lineRule="auto"/>
        <w:rPr>
          <w:color w:val="000000"/>
          <w:sz w:val="20"/>
          <w:szCs w:val="20"/>
          <w:lang w:val="cs-CZ"/>
        </w:rPr>
      </w:pPr>
      <w:r w:rsidRPr="00CE3651">
        <w:rPr>
          <w:color w:val="000000"/>
          <w:sz w:val="20"/>
          <w:szCs w:val="20"/>
          <w:lang w:val="cs-CZ"/>
        </w:rPr>
        <w:t>£ … Nařízení Komise (ES) č. 429/2008</w:t>
      </w:r>
      <w:r w:rsidR="00A65CE2" w:rsidRPr="00CE3651">
        <w:rPr>
          <w:color w:val="000000"/>
          <w:sz w:val="20"/>
          <w:szCs w:val="20"/>
          <w:lang w:val="cs-CZ"/>
        </w:rPr>
        <w:t xml:space="preserve"> ze dne 25. dubna 2008 o prováděcích pravidlech k nařízení Evropského parlamentu a Rady (ES) č. 1831/2003, pokud jde o vypracování a podávání žádostí a vyhodnocování a povol</w:t>
      </w:r>
      <w:r w:rsidR="00C12740" w:rsidRPr="00CE3651">
        <w:rPr>
          <w:color w:val="000000"/>
          <w:sz w:val="20"/>
          <w:szCs w:val="20"/>
          <w:lang w:val="cs-CZ"/>
        </w:rPr>
        <w:t>ování doplňkových látek (</w:t>
      </w:r>
      <w:proofErr w:type="spellStart"/>
      <w:r w:rsidR="00C12740" w:rsidRPr="00CE3651">
        <w:rPr>
          <w:color w:val="000000"/>
          <w:sz w:val="20"/>
          <w:szCs w:val="20"/>
          <w:lang w:val="cs-CZ"/>
        </w:rPr>
        <w:t>Úř</w:t>
      </w:r>
      <w:proofErr w:type="spellEnd"/>
      <w:r w:rsidR="00C12740" w:rsidRPr="00CE3651">
        <w:rPr>
          <w:color w:val="000000"/>
          <w:sz w:val="20"/>
          <w:szCs w:val="20"/>
          <w:lang w:val="cs-CZ"/>
        </w:rPr>
        <w:t xml:space="preserve">. </w:t>
      </w:r>
      <w:proofErr w:type="spellStart"/>
      <w:r w:rsidR="00C12740" w:rsidRPr="00CE3651">
        <w:rPr>
          <w:color w:val="000000"/>
          <w:sz w:val="20"/>
          <w:szCs w:val="20"/>
          <w:lang w:val="cs-CZ"/>
        </w:rPr>
        <w:t>Věst</w:t>
      </w:r>
      <w:proofErr w:type="spellEnd"/>
      <w:r w:rsidR="00C12740" w:rsidRPr="00CE3651">
        <w:rPr>
          <w:color w:val="000000"/>
          <w:sz w:val="20"/>
          <w:szCs w:val="20"/>
          <w:lang w:val="cs-CZ"/>
        </w:rPr>
        <w:t>. L 133, 22.5.2008, s. 1)</w:t>
      </w:r>
      <w:r w:rsidR="007A1BF9" w:rsidRPr="00CE3651">
        <w:rPr>
          <w:color w:val="000000"/>
          <w:sz w:val="20"/>
          <w:szCs w:val="20"/>
          <w:lang w:val="cs-CZ"/>
        </w:rPr>
        <w:br w:type="page"/>
      </w:r>
    </w:p>
    <w:p w14:paraId="2EAB7F17" w14:textId="77777777" w:rsidR="007048D3" w:rsidRDefault="007048D3">
      <w:pPr>
        <w:spacing w:after="160" w:line="259" w:lineRule="auto"/>
        <w:rPr>
          <w:color w:val="000000"/>
          <w:sz w:val="20"/>
          <w:szCs w:val="20"/>
          <w:lang w:val="cs-CZ"/>
        </w:rPr>
      </w:pPr>
    </w:p>
    <w:tbl>
      <w:tblPr>
        <w:tblW w:w="16297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1276"/>
        <w:gridCol w:w="1559"/>
        <w:gridCol w:w="3260"/>
        <w:gridCol w:w="993"/>
        <w:gridCol w:w="850"/>
        <w:gridCol w:w="851"/>
        <w:gridCol w:w="850"/>
        <w:gridCol w:w="2552"/>
        <w:gridCol w:w="1082"/>
        <w:gridCol w:w="2127"/>
      </w:tblGrid>
      <w:tr w:rsidR="007048D3" w:rsidRPr="00514C9F" w14:paraId="1FFA788C" w14:textId="77777777" w:rsidTr="00D6045C">
        <w:trPr>
          <w:cantSplit/>
          <w:trHeight w:val="636"/>
          <w:tblHeader/>
        </w:trPr>
        <w:tc>
          <w:tcPr>
            <w:tcW w:w="89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698622A" w14:textId="77777777" w:rsidR="007048D3" w:rsidRPr="00514C9F" w:rsidRDefault="007048D3" w:rsidP="00D6045C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br w:type="page"/>
            </w:r>
            <w:r w:rsidRPr="00514C9F">
              <w:rPr>
                <w:lang w:val="cs-CZ"/>
              </w:rPr>
              <w:t>Identifikační 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EFAA6E6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0E17D87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259971D2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AB04D99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89DA4ED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2CCD05E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</w:t>
            </w:r>
          </w:p>
          <w:p w14:paraId="46628FCC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4E33634B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4751A73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847E53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8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4EF1A1B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2127" w:type="dxa"/>
            <w:vMerge w:val="restart"/>
            <w:vAlign w:val="center"/>
          </w:tcPr>
          <w:p w14:paraId="43C9637D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7048D3" w:rsidRPr="00514C9F" w14:paraId="2B386E08" w14:textId="77777777" w:rsidTr="00D6045C">
        <w:trPr>
          <w:cantSplit/>
          <w:trHeight w:val="20"/>
          <w:tblHeader/>
        </w:trPr>
        <w:tc>
          <w:tcPr>
            <w:tcW w:w="897" w:type="dxa"/>
            <w:vMerge/>
            <w:tcMar>
              <w:top w:w="57" w:type="dxa"/>
              <w:bottom w:w="57" w:type="dxa"/>
            </w:tcMar>
          </w:tcPr>
          <w:p w14:paraId="66EF46EF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48121E2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68FD9385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63114CE6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29C00FDD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482D51E0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0DAAC7E2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6BC2E3D8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82" w:type="dxa"/>
            <w:vMerge/>
            <w:tcMar>
              <w:top w:w="57" w:type="dxa"/>
              <w:bottom w:w="57" w:type="dxa"/>
            </w:tcMar>
          </w:tcPr>
          <w:p w14:paraId="2EABBEE5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vMerge/>
          </w:tcPr>
          <w:p w14:paraId="0DC7208D" w14:textId="77777777" w:rsidR="007048D3" w:rsidRPr="00514C9F" w:rsidRDefault="007048D3" w:rsidP="00D6045C">
            <w:pPr>
              <w:rPr>
                <w:sz w:val="20"/>
                <w:szCs w:val="20"/>
                <w:lang w:val="cs-CZ"/>
              </w:rPr>
            </w:pPr>
          </w:p>
        </w:tc>
      </w:tr>
      <w:tr w:rsidR="007048D3" w:rsidRPr="00514C9F" w14:paraId="33708218" w14:textId="77777777" w:rsidTr="00D6045C">
        <w:trPr>
          <w:trHeight w:val="5633"/>
        </w:trPr>
        <w:tc>
          <w:tcPr>
            <w:tcW w:w="897" w:type="dxa"/>
            <w:vMerge w:val="restart"/>
            <w:tcMar>
              <w:top w:w="57" w:type="dxa"/>
              <w:bottom w:w="57" w:type="dxa"/>
            </w:tcMar>
          </w:tcPr>
          <w:p w14:paraId="2EE1F436" w14:textId="77777777" w:rsidR="007048D3" w:rsidRPr="00514C9F" w:rsidRDefault="007048D3" w:rsidP="00D6045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51766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D628426" w14:textId="77777777" w:rsidR="007048D3" w:rsidRPr="00514C9F" w:rsidRDefault="007048D3" w:rsidP="00D6045C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Huvepharma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NV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3774790D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Salinomycinát</w:t>
            </w:r>
            <w:proofErr w:type="spellEnd"/>
            <w:r w:rsidRPr="00514C9F">
              <w:rPr>
                <w:sz w:val="20"/>
                <w:lang w:val="cs-CZ"/>
              </w:rPr>
              <w:t xml:space="preserve"> sodný </w:t>
            </w:r>
          </w:p>
          <w:p w14:paraId="0A54B9FF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120 g/kg</w:t>
            </w:r>
          </w:p>
          <w:p w14:paraId="6F70300B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Sacox</w:t>
            </w:r>
            <w:proofErr w:type="spellEnd"/>
            <w:r w:rsidRPr="00514C9F">
              <w:rPr>
                <w:sz w:val="20"/>
                <w:lang w:val="cs-CZ"/>
              </w:rPr>
              <w:t xml:space="preserve"> 120 </w:t>
            </w:r>
            <w:proofErr w:type="spellStart"/>
            <w:r w:rsidRPr="00514C9F">
              <w:rPr>
                <w:sz w:val="20"/>
                <w:lang w:val="cs-CZ"/>
              </w:rPr>
              <w:t>microGranulate</w:t>
            </w:r>
            <w:proofErr w:type="spellEnd"/>
            <w:r w:rsidRPr="00514C9F">
              <w:rPr>
                <w:sz w:val="20"/>
                <w:lang w:val="cs-CZ"/>
              </w:rPr>
              <w:t>)</w:t>
            </w:r>
          </w:p>
          <w:p w14:paraId="3DF00FFB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Salinomycinát</w:t>
            </w:r>
            <w:proofErr w:type="spellEnd"/>
            <w:r w:rsidRPr="00514C9F">
              <w:rPr>
                <w:sz w:val="20"/>
                <w:lang w:val="cs-CZ"/>
              </w:rPr>
              <w:t xml:space="preserve"> sodný </w:t>
            </w:r>
          </w:p>
          <w:p w14:paraId="3DA1DEEF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200 g/kg</w:t>
            </w:r>
          </w:p>
          <w:p w14:paraId="05F24CFF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Sacox</w:t>
            </w:r>
            <w:proofErr w:type="spellEnd"/>
            <w:r w:rsidRPr="00514C9F">
              <w:rPr>
                <w:sz w:val="20"/>
                <w:lang w:val="cs-CZ"/>
              </w:rPr>
              <w:t xml:space="preserve"> 200 </w:t>
            </w:r>
            <w:proofErr w:type="spellStart"/>
            <w:r w:rsidRPr="00514C9F">
              <w:rPr>
                <w:sz w:val="20"/>
                <w:lang w:val="cs-CZ"/>
              </w:rPr>
              <w:t>microGranulate</w:t>
            </w:r>
            <w:proofErr w:type="spellEnd"/>
            <w:r w:rsidRPr="00514C9F">
              <w:rPr>
                <w:sz w:val="20"/>
                <w:lang w:val="cs-CZ"/>
              </w:rPr>
              <w:t>)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3B8081C4" w14:textId="77777777" w:rsidR="007048D3" w:rsidRPr="00514C9F" w:rsidRDefault="007048D3" w:rsidP="00D6045C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Složení doplňkové látky:</w:t>
            </w:r>
          </w:p>
          <w:p w14:paraId="4BFF1FB5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Sacox</w:t>
            </w:r>
            <w:proofErr w:type="spellEnd"/>
            <w:r w:rsidRPr="00514C9F">
              <w:rPr>
                <w:sz w:val="20"/>
                <w:lang w:val="cs-CZ"/>
              </w:rPr>
              <w:t xml:space="preserve"> 120 </w:t>
            </w:r>
            <w:proofErr w:type="spellStart"/>
            <w:r w:rsidRPr="00514C9F">
              <w:rPr>
                <w:sz w:val="20"/>
                <w:lang w:val="cs-CZ"/>
              </w:rPr>
              <w:t>microGranulate</w:t>
            </w:r>
            <w:proofErr w:type="spellEnd"/>
            <w:r w:rsidRPr="00514C9F">
              <w:rPr>
                <w:sz w:val="20"/>
                <w:lang w:val="cs-CZ"/>
              </w:rPr>
              <w:t>):</w:t>
            </w:r>
          </w:p>
          <w:p w14:paraId="157044FD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Salinomycinát</w:t>
            </w:r>
            <w:proofErr w:type="spellEnd"/>
            <w:r w:rsidRPr="00514C9F">
              <w:rPr>
                <w:sz w:val="20"/>
                <w:lang w:val="cs-CZ"/>
              </w:rPr>
              <w:t xml:space="preserve"> sodný: </w:t>
            </w:r>
            <w:proofErr w:type="gramStart"/>
            <w:r w:rsidRPr="00514C9F">
              <w:rPr>
                <w:sz w:val="20"/>
                <w:lang w:val="cs-CZ"/>
              </w:rPr>
              <w:t>114 – 132</w:t>
            </w:r>
            <w:proofErr w:type="gramEnd"/>
            <w:r w:rsidRPr="00514C9F">
              <w:rPr>
                <w:sz w:val="20"/>
                <w:lang w:val="cs-CZ"/>
              </w:rPr>
              <w:t xml:space="preserve"> g/kg</w:t>
            </w:r>
          </w:p>
          <w:p w14:paraId="0F135669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Oxid křemičitý: </w:t>
            </w:r>
            <w:proofErr w:type="gramStart"/>
            <w:r w:rsidRPr="00514C9F">
              <w:rPr>
                <w:sz w:val="20"/>
                <w:lang w:val="cs-CZ"/>
              </w:rPr>
              <w:t>10 – 100</w:t>
            </w:r>
            <w:proofErr w:type="gramEnd"/>
            <w:r w:rsidRPr="00514C9F">
              <w:rPr>
                <w:sz w:val="20"/>
                <w:lang w:val="cs-CZ"/>
              </w:rPr>
              <w:t xml:space="preserve"> g/kg</w:t>
            </w:r>
          </w:p>
          <w:p w14:paraId="73E6ABF8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Uhličitan </w:t>
            </w:r>
            <w:proofErr w:type="spellStart"/>
            <w:r w:rsidRPr="00514C9F">
              <w:rPr>
                <w:sz w:val="20"/>
                <w:lang w:val="cs-CZ"/>
              </w:rPr>
              <w:t>vápanetý</w:t>
            </w:r>
            <w:proofErr w:type="spellEnd"/>
            <w:r w:rsidRPr="00514C9F">
              <w:rPr>
                <w:sz w:val="20"/>
                <w:lang w:val="cs-CZ"/>
              </w:rPr>
              <w:t xml:space="preserve">: </w:t>
            </w:r>
            <w:proofErr w:type="gramStart"/>
            <w:r w:rsidRPr="00514C9F">
              <w:rPr>
                <w:sz w:val="20"/>
                <w:lang w:val="cs-CZ"/>
              </w:rPr>
              <w:t>500 – 700</w:t>
            </w:r>
            <w:proofErr w:type="gramEnd"/>
            <w:r w:rsidRPr="00514C9F">
              <w:rPr>
                <w:sz w:val="20"/>
                <w:lang w:val="cs-CZ"/>
              </w:rPr>
              <w:t xml:space="preserve"> g/kg</w:t>
            </w:r>
          </w:p>
          <w:p w14:paraId="73604147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Pevná forma</w:t>
            </w:r>
          </w:p>
          <w:p w14:paraId="4EB5281E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Sacox</w:t>
            </w:r>
            <w:proofErr w:type="spellEnd"/>
            <w:r w:rsidRPr="00514C9F">
              <w:rPr>
                <w:sz w:val="20"/>
                <w:lang w:val="cs-CZ"/>
              </w:rPr>
              <w:t xml:space="preserve"> 200 </w:t>
            </w:r>
            <w:proofErr w:type="spellStart"/>
            <w:r w:rsidRPr="00514C9F">
              <w:rPr>
                <w:sz w:val="20"/>
                <w:lang w:val="cs-CZ"/>
              </w:rPr>
              <w:t>microGranulate</w:t>
            </w:r>
            <w:proofErr w:type="spellEnd"/>
            <w:r w:rsidRPr="00514C9F">
              <w:rPr>
                <w:sz w:val="20"/>
                <w:lang w:val="cs-CZ"/>
              </w:rPr>
              <w:t>):</w:t>
            </w:r>
          </w:p>
          <w:p w14:paraId="16D0F353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Salinomycinát</w:t>
            </w:r>
            <w:proofErr w:type="spellEnd"/>
            <w:r w:rsidRPr="00514C9F">
              <w:rPr>
                <w:sz w:val="20"/>
                <w:lang w:val="cs-CZ"/>
              </w:rPr>
              <w:t xml:space="preserve"> sodný: </w:t>
            </w:r>
            <w:proofErr w:type="gramStart"/>
            <w:r w:rsidRPr="00514C9F">
              <w:rPr>
                <w:sz w:val="20"/>
                <w:lang w:val="cs-CZ"/>
              </w:rPr>
              <w:t>190 – 220</w:t>
            </w:r>
            <w:proofErr w:type="gramEnd"/>
            <w:r w:rsidRPr="00514C9F">
              <w:rPr>
                <w:sz w:val="20"/>
                <w:lang w:val="cs-CZ"/>
              </w:rPr>
              <w:t xml:space="preserve"> g/kg</w:t>
            </w:r>
          </w:p>
          <w:p w14:paraId="69136442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Oxid křemičitý: </w:t>
            </w:r>
            <w:proofErr w:type="gramStart"/>
            <w:r w:rsidRPr="00514C9F">
              <w:rPr>
                <w:sz w:val="20"/>
                <w:lang w:val="cs-CZ"/>
              </w:rPr>
              <w:t>50 – 150</w:t>
            </w:r>
            <w:proofErr w:type="gramEnd"/>
            <w:r w:rsidRPr="00514C9F">
              <w:rPr>
                <w:sz w:val="20"/>
                <w:lang w:val="cs-CZ"/>
              </w:rPr>
              <w:t xml:space="preserve"> g/kg</w:t>
            </w:r>
          </w:p>
          <w:p w14:paraId="27FA1F28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Uhličitan vápenatý: </w:t>
            </w:r>
            <w:proofErr w:type="gramStart"/>
            <w:r w:rsidRPr="00514C9F">
              <w:rPr>
                <w:sz w:val="20"/>
                <w:lang w:val="cs-CZ"/>
              </w:rPr>
              <w:t>50 – 150</w:t>
            </w:r>
            <w:proofErr w:type="gramEnd"/>
            <w:r w:rsidRPr="00514C9F">
              <w:rPr>
                <w:sz w:val="20"/>
                <w:lang w:val="cs-CZ"/>
              </w:rPr>
              <w:t xml:space="preserve"> g/kg</w:t>
            </w:r>
          </w:p>
          <w:p w14:paraId="4189F994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Pevná forma</w:t>
            </w:r>
          </w:p>
          <w:p w14:paraId="65387782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</w:p>
          <w:p w14:paraId="424DA0C6" w14:textId="77777777" w:rsidR="007048D3" w:rsidRPr="00514C9F" w:rsidRDefault="007048D3" w:rsidP="00D6045C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Charakteristika účinné látky:</w:t>
            </w:r>
          </w:p>
          <w:p w14:paraId="371DB102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Salinomycinát</w:t>
            </w:r>
            <w:proofErr w:type="spellEnd"/>
            <w:r w:rsidRPr="00514C9F">
              <w:rPr>
                <w:sz w:val="20"/>
                <w:lang w:val="cs-CZ"/>
              </w:rPr>
              <w:t xml:space="preserve"> sodný</w:t>
            </w:r>
          </w:p>
          <w:p w14:paraId="091C74D8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C</w:t>
            </w:r>
            <w:r w:rsidRPr="00514C9F">
              <w:rPr>
                <w:sz w:val="20"/>
                <w:vertAlign w:val="subscript"/>
                <w:lang w:val="cs-CZ"/>
              </w:rPr>
              <w:t>42</w:t>
            </w:r>
            <w:r w:rsidRPr="00514C9F">
              <w:rPr>
                <w:sz w:val="20"/>
                <w:lang w:val="cs-CZ"/>
              </w:rPr>
              <w:t>H</w:t>
            </w:r>
            <w:r w:rsidRPr="00514C9F">
              <w:rPr>
                <w:sz w:val="20"/>
                <w:vertAlign w:val="subscript"/>
                <w:lang w:val="cs-CZ"/>
              </w:rPr>
              <w:t>69</w:t>
            </w:r>
            <w:r w:rsidRPr="00514C9F">
              <w:rPr>
                <w:sz w:val="20"/>
                <w:lang w:val="cs-CZ"/>
              </w:rPr>
              <w:t>NaO</w:t>
            </w:r>
            <w:r w:rsidRPr="00514C9F">
              <w:rPr>
                <w:sz w:val="20"/>
                <w:vertAlign w:val="subscript"/>
                <w:lang w:val="cs-CZ"/>
              </w:rPr>
              <w:t>11</w:t>
            </w:r>
          </w:p>
          <w:p w14:paraId="23BB3127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Číslo CAS: 55721-31-8</w:t>
            </w:r>
          </w:p>
          <w:p w14:paraId="5F595EDC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Sodná sůl </w:t>
            </w:r>
            <w:proofErr w:type="spellStart"/>
            <w:r w:rsidRPr="00514C9F">
              <w:rPr>
                <w:sz w:val="20"/>
                <w:lang w:val="cs-CZ"/>
              </w:rPr>
              <w:t>polyetherické</w:t>
            </w:r>
            <w:proofErr w:type="spellEnd"/>
            <w:r w:rsidRPr="00514C9F">
              <w:rPr>
                <w:sz w:val="20"/>
                <w:lang w:val="cs-CZ"/>
              </w:rPr>
              <w:t xml:space="preserve"> monokarboxylové kyseliny produkované fermentací </w:t>
            </w:r>
            <w:proofErr w:type="spellStart"/>
            <w:r w:rsidRPr="00514C9F">
              <w:rPr>
                <w:i/>
                <w:sz w:val="20"/>
                <w:lang w:val="cs-CZ"/>
              </w:rPr>
              <w:t>Streptomyces</w:t>
            </w:r>
            <w:proofErr w:type="spellEnd"/>
            <w:r w:rsidRPr="00514C9F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i/>
                <w:sz w:val="20"/>
                <w:lang w:val="cs-CZ"/>
              </w:rPr>
              <w:t>azureus</w:t>
            </w:r>
            <w:proofErr w:type="spellEnd"/>
            <w:r w:rsidRPr="00514C9F">
              <w:rPr>
                <w:sz w:val="20"/>
                <w:lang w:val="cs-CZ"/>
              </w:rPr>
              <w:t xml:space="preserve"> (DSM 32267)</w:t>
            </w:r>
          </w:p>
          <w:p w14:paraId="029918E2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Přidružené nečistoty:</w:t>
            </w:r>
          </w:p>
          <w:p w14:paraId="465C4C59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- ≤ 10 mg </w:t>
            </w:r>
            <w:proofErr w:type="spellStart"/>
            <w:r w:rsidRPr="00514C9F">
              <w:rPr>
                <w:sz w:val="20"/>
                <w:lang w:val="cs-CZ"/>
              </w:rPr>
              <w:t>elaiofylinu</w:t>
            </w:r>
            <w:proofErr w:type="spellEnd"/>
            <w:r w:rsidRPr="00514C9F">
              <w:rPr>
                <w:sz w:val="20"/>
                <w:lang w:val="cs-CZ"/>
              </w:rPr>
              <w:t xml:space="preserve">/kg </w:t>
            </w:r>
            <w:proofErr w:type="spellStart"/>
            <w:r w:rsidRPr="00514C9F">
              <w:rPr>
                <w:sz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lang w:val="cs-CZ"/>
              </w:rPr>
              <w:t xml:space="preserve"> sodného</w:t>
            </w:r>
          </w:p>
          <w:p w14:paraId="5DE9DFA7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lastRenderedPageBreak/>
              <w:t xml:space="preserve">- ≤ 2 g </w:t>
            </w:r>
            <w:proofErr w:type="gramStart"/>
            <w:r w:rsidRPr="00514C9F">
              <w:rPr>
                <w:sz w:val="20"/>
                <w:lang w:val="cs-CZ"/>
              </w:rPr>
              <w:t>17-epi</w:t>
            </w:r>
            <w:proofErr w:type="gramEnd"/>
            <w:r w:rsidRPr="00514C9F">
              <w:rPr>
                <w:sz w:val="20"/>
                <w:lang w:val="cs-CZ"/>
              </w:rPr>
              <w:t xml:space="preserve">-20-desoxysalinomycinu/kg </w:t>
            </w:r>
            <w:proofErr w:type="spellStart"/>
            <w:r w:rsidRPr="00514C9F">
              <w:rPr>
                <w:sz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lang w:val="cs-CZ"/>
              </w:rPr>
              <w:t xml:space="preserve"> sodného</w:t>
            </w:r>
          </w:p>
          <w:p w14:paraId="7035FB08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- ≤ 10 g </w:t>
            </w:r>
            <w:proofErr w:type="gramStart"/>
            <w:r w:rsidRPr="00514C9F">
              <w:rPr>
                <w:sz w:val="20"/>
                <w:lang w:val="cs-CZ"/>
              </w:rPr>
              <w:t>20-desoxysalinomycinu</w:t>
            </w:r>
            <w:proofErr w:type="gramEnd"/>
            <w:r w:rsidRPr="00514C9F">
              <w:rPr>
                <w:sz w:val="20"/>
                <w:lang w:val="cs-CZ"/>
              </w:rPr>
              <w:t xml:space="preserve">/kg </w:t>
            </w:r>
            <w:proofErr w:type="spellStart"/>
            <w:r w:rsidRPr="00514C9F">
              <w:rPr>
                <w:sz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lang w:val="cs-CZ"/>
              </w:rPr>
              <w:t xml:space="preserve"> sodného</w:t>
            </w:r>
          </w:p>
          <w:p w14:paraId="61EC5B4A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- ≤ 10 g </w:t>
            </w:r>
            <w:proofErr w:type="gramStart"/>
            <w:r w:rsidRPr="00514C9F">
              <w:rPr>
                <w:sz w:val="20"/>
                <w:lang w:val="cs-CZ"/>
              </w:rPr>
              <w:t>18,19-dihydrosalinomycinu</w:t>
            </w:r>
            <w:proofErr w:type="gramEnd"/>
            <w:r w:rsidRPr="00514C9F">
              <w:rPr>
                <w:sz w:val="20"/>
                <w:lang w:val="cs-CZ"/>
              </w:rPr>
              <w:t xml:space="preserve">/kg </w:t>
            </w:r>
            <w:proofErr w:type="spellStart"/>
            <w:r w:rsidRPr="00514C9F">
              <w:rPr>
                <w:sz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lang w:val="cs-CZ"/>
              </w:rPr>
              <w:t xml:space="preserve"> sodného</w:t>
            </w:r>
          </w:p>
          <w:p w14:paraId="4377099D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- ≤ 10 g </w:t>
            </w:r>
            <w:proofErr w:type="spellStart"/>
            <w:r w:rsidRPr="00514C9F">
              <w:rPr>
                <w:sz w:val="20"/>
                <w:lang w:val="cs-CZ"/>
              </w:rPr>
              <w:t>methylsalinomycinu</w:t>
            </w:r>
            <w:proofErr w:type="spellEnd"/>
            <w:r w:rsidRPr="00514C9F">
              <w:rPr>
                <w:sz w:val="20"/>
                <w:lang w:val="cs-CZ"/>
              </w:rPr>
              <w:t xml:space="preserve">/kg </w:t>
            </w:r>
            <w:proofErr w:type="spellStart"/>
            <w:r w:rsidRPr="00514C9F">
              <w:rPr>
                <w:sz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lang w:val="cs-CZ"/>
              </w:rPr>
              <w:t xml:space="preserve"> sodného</w:t>
            </w:r>
          </w:p>
          <w:p w14:paraId="48B89CCF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</w:p>
          <w:p w14:paraId="6D6483B1" w14:textId="77777777" w:rsidR="007048D3" w:rsidRPr="00514C9F" w:rsidRDefault="007048D3" w:rsidP="00D6045C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Analytická metoda: *</w:t>
            </w:r>
          </w:p>
          <w:p w14:paraId="441D1CFB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Pro kvantifikaci </w:t>
            </w:r>
            <w:proofErr w:type="spellStart"/>
            <w:r w:rsidRPr="00514C9F">
              <w:rPr>
                <w:sz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lang w:val="cs-CZ"/>
              </w:rPr>
              <w:t xml:space="preserve"> v doplňkové látce:</w:t>
            </w:r>
          </w:p>
          <w:p w14:paraId="2BED9071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- vysokoúčinná kapalinová chromatografie s </w:t>
            </w:r>
            <w:proofErr w:type="spellStart"/>
            <w:r w:rsidRPr="00514C9F">
              <w:rPr>
                <w:sz w:val="20"/>
                <w:lang w:val="cs-CZ"/>
              </w:rPr>
              <w:t>postkolonovou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t>derivatizací</w:t>
            </w:r>
            <w:proofErr w:type="spellEnd"/>
            <w:r w:rsidRPr="00514C9F">
              <w:rPr>
                <w:sz w:val="20"/>
                <w:lang w:val="cs-CZ"/>
              </w:rPr>
              <w:t xml:space="preserve"> a spektrofotometrickou detekcí (HPLC-PCD-UV-Vis)</w:t>
            </w:r>
          </w:p>
          <w:p w14:paraId="53CB0EEC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</w:p>
          <w:p w14:paraId="300865B4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Pro kvantifikaci </w:t>
            </w:r>
            <w:proofErr w:type="spellStart"/>
            <w:r w:rsidRPr="00514C9F">
              <w:rPr>
                <w:sz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lang w:val="cs-CZ"/>
              </w:rPr>
              <w:t xml:space="preserve"> v </w:t>
            </w:r>
            <w:proofErr w:type="spellStart"/>
            <w:r w:rsidRPr="00514C9F">
              <w:rPr>
                <w:sz w:val="20"/>
                <w:lang w:val="cs-CZ"/>
              </w:rPr>
              <w:t>premixech</w:t>
            </w:r>
            <w:proofErr w:type="spellEnd"/>
            <w:r w:rsidRPr="00514C9F">
              <w:rPr>
                <w:sz w:val="20"/>
                <w:lang w:val="cs-CZ"/>
              </w:rPr>
              <w:t xml:space="preserve"> a krmivech:</w:t>
            </w:r>
          </w:p>
          <w:p w14:paraId="4D32686E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- vysokoúčinná kapalinová chromatografie s </w:t>
            </w:r>
            <w:proofErr w:type="spellStart"/>
            <w:r w:rsidRPr="00514C9F">
              <w:rPr>
                <w:sz w:val="20"/>
                <w:lang w:val="cs-CZ"/>
              </w:rPr>
              <w:t>postkolonovou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t>derivatizací</w:t>
            </w:r>
            <w:proofErr w:type="spellEnd"/>
            <w:r w:rsidRPr="00514C9F">
              <w:rPr>
                <w:sz w:val="20"/>
                <w:lang w:val="cs-CZ"/>
              </w:rPr>
              <w:t xml:space="preserve"> a spektrofotometrickou detekcí (HPLC-PCD-UV-Vis) – EN ISO 14183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1DD2D16" w14:textId="77777777" w:rsidR="007048D3" w:rsidRPr="00514C9F" w:rsidRDefault="007048D3" w:rsidP="00D6045C">
            <w:pPr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lang w:val="cs-CZ"/>
              </w:rPr>
              <w:lastRenderedPageBreak/>
              <w:t xml:space="preserve">Výkrm kuřat </w:t>
            </w:r>
            <w:r w:rsidRPr="00514C9F">
              <w:rPr>
                <w:sz w:val="20"/>
                <w:vertAlign w:val="superscript"/>
                <w:lang w:val="cs-CZ"/>
              </w:rPr>
              <w:t>56)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3D1778C3" w14:textId="77777777" w:rsidR="007048D3" w:rsidRPr="00514C9F" w:rsidRDefault="007048D3" w:rsidP="00D6045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514C9F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880AD87" w14:textId="77777777" w:rsidR="007048D3" w:rsidRPr="00514C9F" w:rsidRDefault="007048D3" w:rsidP="00D6045C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50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0B8DE1F9" w14:textId="77777777" w:rsidR="007048D3" w:rsidRPr="00514C9F" w:rsidRDefault="007048D3" w:rsidP="00D6045C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70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5D22BD56" w14:textId="77777777" w:rsidR="007048D3" w:rsidRPr="00514C9F" w:rsidRDefault="007048D3" w:rsidP="00D6045C">
            <w:pPr>
              <w:ind w:left="113" w:hanging="113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1. Doplňková látka se do krmné směsi musí zapracovat ve formě </w:t>
            </w:r>
            <w:proofErr w:type="spellStart"/>
            <w:r w:rsidRPr="00514C9F">
              <w:rPr>
                <w:sz w:val="20"/>
                <w:lang w:val="cs-CZ"/>
              </w:rPr>
              <w:t>premixu</w:t>
            </w:r>
            <w:proofErr w:type="spellEnd"/>
          </w:p>
          <w:p w14:paraId="18C668B5" w14:textId="77777777" w:rsidR="007048D3" w:rsidRPr="00514C9F" w:rsidRDefault="007048D3" w:rsidP="00D6045C">
            <w:pPr>
              <w:ind w:left="113" w:hanging="113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2. V návodu k použití musí být uvedeno:</w:t>
            </w:r>
          </w:p>
          <w:p w14:paraId="0EABA0C7" w14:textId="77777777" w:rsidR="007048D3" w:rsidRPr="00514C9F" w:rsidRDefault="007048D3" w:rsidP="00D6045C">
            <w:pPr>
              <w:ind w:left="113" w:hanging="113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„Nebezpečné pro koňovité a krůty.</w:t>
            </w:r>
          </w:p>
          <w:p w14:paraId="6943AE88" w14:textId="77777777" w:rsidR="007048D3" w:rsidRPr="00514C9F" w:rsidRDefault="007048D3" w:rsidP="00D6045C">
            <w:pPr>
              <w:ind w:left="113" w:hanging="113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Toto krmivo obsahuje ionofor:</w:t>
            </w:r>
          </w:p>
          <w:p w14:paraId="648B991B" w14:textId="77777777" w:rsidR="007048D3" w:rsidRPr="00514C9F" w:rsidRDefault="007048D3" w:rsidP="00D6045C">
            <w:pPr>
              <w:ind w:left="113" w:hanging="113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Podávání této látky současně s některými léčebnými látkami (např. </w:t>
            </w:r>
            <w:proofErr w:type="spellStart"/>
            <w:r w:rsidRPr="00514C9F">
              <w:rPr>
                <w:sz w:val="20"/>
                <w:lang w:val="cs-CZ"/>
              </w:rPr>
              <w:t>tiamulinem</w:t>
            </w:r>
            <w:proofErr w:type="spellEnd"/>
            <w:r w:rsidRPr="00514C9F">
              <w:rPr>
                <w:sz w:val="20"/>
                <w:lang w:val="cs-CZ"/>
              </w:rPr>
              <w:t>) může být kontraindikováno“</w:t>
            </w:r>
          </w:p>
          <w:p w14:paraId="5A7D8AC2" w14:textId="77777777" w:rsidR="007048D3" w:rsidRPr="00514C9F" w:rsidRDefault="007048D3" w:rsidP="00D6045C">
            <w:pPr>
              <w:ind w:left="113" w:hanging="113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3. </w:t>
            </w:r>
            <w:proofErr w:type="spellStart"/>
            <w:r w:rsidRPr="00514C9F">
              <w:rPr>
                <w:sz w:val="20"/>
                <w:lang w:val="cs-CZ"/>
              </w:rPr>
              <w:t>Salinomycinát</w:t>
            </w:r>
            <w:proofErr w:type="spellEnd"/>
            <w:r w:rsidRPr="00514C9F">
              <w:rPr>
                <w:sz w:val="20"/>
                <w:lang w:val="cs-CZ"/>
              </w:rPr>
              <w:t xml:space="preserve"> sodný se nesmí míchat s jinými </w:t>
            </w:r>
            <w:proofErr w:type="spellStart"/>
            <w:r w:rsidRPr="00514C9F">
              <w:rPr>
                <w:sz w:val="20"/>
                <w:lang w:val="cs-CZ"/>
              </w:rPr>
              <w:t>kokcidiostatiky</w:t>
            </w:r>
            <w:proofErr w:type="spellEnd"/>
          </w:p>
          <w:p w14:paraId="1D41082D" w14:textId="77777777" w:rsidR="007048D3" w:rsidRDefault="007048D3" w:rsidP="00D6045C">
            <w:pPr>
              <w:ind w:left="113" w:hanging="113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4. Držitel povolení naplánuje a provede program monitorování po uvedení na trh týkající se odolnosti vůči bakteriím a </w:t>
            </w:r>
            <w:proofErr w:type="spellStart"/>
            <w:r w:rsidRPr="00514C9F">
              <w:rPr>
                <w:i/>
                <w:sz w:val="20"/>
                <w:lang w:val="cs-CZ"/>
              </w:rPr>
              <w:t>Eimeria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t>spp</w:t>
            </w:r>
            <w:proofErr w:type="spellEnd"/>
          </w:p>
          <w:p w14:paraId="62E355B3" w14:textId="77777777" w:rsidR="007048D3" w:rsidRDefault="007048D3" w:rsidP="00D6045C">
            <w:pPr>
              <w:ind w:left="113" w:hanging="11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5. Ochranná lhůta činí nula dnů</w:t>
            </w:r>
          </w:p>
          <w:p w14:paraId="465BAC70" w14:textId="77777777" w:rsidR="007048D3" w:rsidRPr="00514C9F" w:rsidRDefault="007048D3" w:rsidP="00D6045C">
            <w:pPr>
              <w:ind w:left="113" w:hanging="11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 xml:space="preserve">6. 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vhodnými ochrannými prostředky, včetně ochrany dýchacích cest, očí a pokožky.</w:t>
            </w:r>
          </w:p>
        </w:tc>
        <w:tc>
          <w:tcPr>
            <w:tcW w:w="1082" w:type="dxa"/>
            <w:tcMar>
              <w:top w:w="57" w:type="dxa"/>
              <w:bottom w:w="57" w:type="dxa"/>
            </w:tcMar>
          </w:tcPr>
          <w:p w14:paraId="45F31A8E" w14:textId="77777777" w:rsidR="007048D3" w:rsidRPr="00514C9F" w:rsidRDefault="007048D3" w:rsidP="00D6045C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lastRenderedPageBreak/>
              <w:t>9.11.2027</w:t>
            </w:r>
          </w:p>
        </w:tc>
        <w:tc>
          <w:tcPr>
            <w:tcW w:w="2127" w:type="dxa"/>
            <w:vMerge w:val="restart"/>
          </w:tcPr>
          <w:p w14:paraId="1A4E9992" w14:textId="77777777" w:rsidR="007048D3" w:rsidRPr="00514C9F" w:rsidRDefault="007048D3" w:rsidP="00D6045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150 µg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salinomycináti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sodného/kg jater</w:t>
            </w:r>
          </w:p>
          <w:p w14:paraId="546643AA" w14:textId="77777777" w:rsidR="007048D3" w:rsidRPr="00514C9F" w:rsidRDefault="007048D3" w:rsidP="00D6045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40 µg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sodného/kg ledvin</w:t>
            </w:r>
          </w:p>
          <w:p w14:paraId="723EB17D" w14:textId="77777777" w:rsidR="007048D3" w:rsidRPr="00514C9F" w:rsidRDefault="007048D3" w:rsidP="00D6045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15 µg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sodného/kg svaloviny a </w:t>
            </w:r>
          </w:p>
          <w:p w14:paraId="6A2BF55B" w14:textId="77777777" w:rsidR="007048D3" w:rsidRPr="00514C9F" w:rsidRDefault="007048D3" w:rsidP="00D6045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150 µg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salinomycinátu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sodného/kg kůže nebo tuku</w:t>
            </w:r>
          </w:p>
        </w:tc>
      </w:tr>
      <w:tr w:rsidR="007048D3" w:rsidRPr="00514C9F" w14:paraId="5A869B97" w14:textId="77777777" w:rsidTr="00D6045C">
        <w:trPr>
          <w:trHeight w:val="5632"/>
        </w:trPr>
        <w:tc>
          <w:tcPr>
            <w:tcW w:w="897" w:type="dxa"/>
            <w:vMerge/>
            <w:tcMar>
              <w:top w:w="57" w:type="dxa"/>
              <w:bottom w:w="57" w:type="dxa"/>
            </w:tcMar>
          </w:tcPr>
          <w:p w14:paraId="7E3BAAFB" w14:textId="77777777" w:rsidR="007048D3" w:rsidRPr="00514C9F" w:rsidRDefault="007048D3" w:rsidP="00D604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21B5E56" w14:textId="77777777" w:rsidR="007048D3" w:rsidRPr="00514C9F" w:rsidRDefault="007048D3" w:rsidP="00D6045C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7EFEEC85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14C49E02" w14:textId="77777777" w:rsidR="007048D3" w:rsidRPr="00514C9F" w:rsidRDefault="007048D3" w:rsidP="00D6045C">
            <w:pPr>
              <w:rPr>
                <w:b/>
                <w:sz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5EE7796" w14:textId="77777777" w:rsidR="007048D3" w:rsidRPr="00514C9F" w:rsidRDefault="007048D3" w:rsidP="00D6045C">
            <w:pPr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Odchov kuřat a kuřice </w:t>
            </w:r>
            <w:r w:rsidRPr="00514C9F">
              <w:rPr>
                <w:sz w:val="20"/>
                <w:vertAlign w:val="superscript"/>
                <w:lang w:val="cs-CZ"/>
              </w:rPr>
              <w:t>56)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386E8C8F" w14:textId="77777777" w:rsidR="007048D3" w:rsidRPr="00514C9F" w:rsidRDefault="007048D3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12 týdnů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4132657" w14:textId="77777777" w:rsidR="007048D3" w:rsidRPr="00514C9F" w:rsidRDefault="007048D3" w:rsidP="00D6045C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50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DB289A8" w14:textId="77777777" w:rsidR="007048D3" w:rsidRPr="00514C9F" w:rsidRDefault="007048D3" w:rsidP="00D6045C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50</w:t>
            </w: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7557D8C1" w14:textId="77777777" w:rsidR="007048D3" w:rsidRPr="00514C9F" w:rsidRDefault="007048D3" w:rsidP="00D6045C">
            <w:pPr>
              <w:rPr>
                <w:sz w:val="20"/>
                <w:lang w:val="cs-CZ"/>
              </w:rPr>
            </w:pPr>
          </w:p>
        </w:tc>
        <w:tc>
          <w:tcPr>
            <w:tcW w:w="1082" w:type="dxa"/>
            <w:tcMar>
              <w:top w:w="57" w:type="dxa"/>
              <w:bottom w:w="57" w:type="dxa"/>
            </w:tcMar>
          </w:tcPr>
          <w:p w14:paraId="46236584" w14:textId="77777777" w:rsidR="007048D3" w:rsidRPr="00514C9F" w:rsidRDefault="007048D3" w:rsidP="00D6045C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</w:p>
        </w:tc>
        <w:tc>
          <w:tcPr>
            <w:tcW w:w="2127" w:type="dxa"/>
            <w:vMerge/>
          </w:tcPr>
          <w:p w14:paraId="56FA471A" w14:textId="77777777" w:rsidR="007048D3" w:rsidRPr="00514C9F" w:rsidRDefault="007048D3" w:rsidP="00D6045C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009687F9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668A1CC0" w14:textId="77777777" w:rsidR="0095461B" w:rsidRPr="00514C9F" w:rsidRDefault="0095461B">
      <w:pPr>
        <w:spacing w:after="160" w:line="259" w:lineRule="auto"/>
        <w:rPr>
          <w:color w:val="000000"/>
          <w:sz w:val="20"/>
          <w:szCs w:val="20"/>
          <w:lang w:val="cs-CZ"/>
        </w:rPr>
      </w:pPr>
      <w:r w:rsidRPr="00514C9F">
        <w:rPr>
          <w:color w:val="000000"/>
          <w:szCs w:val="20"/>
          <w:lang w:val="cs-CZ"/>
        </w:rPr>
        <w:br w:type="page"/>
      </w:r>
    </w:p>
    <w:p w14:paraId="5B7DE271" w14:textId="77777777" w:rsidR="0095461B" w:rsidRPr="00514C9F" w:rsidRDefault="0095461B" w:rsidP="00E82657">
      <w:pPr>
        <w:pStyle w:val="Textpoznpodarou"/>
        <w:rPr>
          <w:color w:val="000000"/>
          <w:szCs w:val="20"/>
          <w:lang w:val="cs-CZ"/>
        </w:rPr>
      </w:pP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1134"/>
        <w:gridCol w:w="1251"/>
      </w:tblGrid>
      <w:tr w:rsidR="00E82657" w:rsidRPr="00514C9F" w14:paraId="30CC5351" w14:textId="77777777" w:rsidTr="0049425D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64EA16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br w:type="page"/>
            </w:r>
            <w:r w:rsidRPr="00514C9F">
              <w:rPr>
                <w:lang w:val="cs-CZ"/>
              </w:rPr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750A1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610BB6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3AF1DD8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CC0A4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DB2891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427F7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3321BE7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094D63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8E9CC0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45D5A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234E9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A397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E82657" w:rsidRPr="00514C9F" w14:paraId="7A38E02B" w14:textId="77777777" w:rsidTr="0049425D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A51B4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1425E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FE976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02789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D951F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291B3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04C05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1541FB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51778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F1C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449F77B6" w14:textId="77777777" w:rsidTr="0049425D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FCBA2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E064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C33D0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A09766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10627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79DBA7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07DF5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E0F101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E8871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933D3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4A91C0E7" w14:textId="77777777" w:rsidTr="0049425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C06526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5 1 770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F52916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Zoetis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Belgium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SA </w:t>
            </w:r>
            <w:r w:rsidRPr="00514C9F">
              <w:rPr>
                <w:sz w:val="20"/>
                <w:szCs w:val="20"/>
                <w:vertAlign w:val="superscript"/>
                <w:lang w:val="cs-CZ"/>
              </w:rPr>
              <w:t>48), 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36195D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maduramicin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ammonium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alpha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10 g/kg (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Cygro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10G)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7805F6" w14:textId="77777777" w:rsidR="00E82657" w:rsidRPr="00514C9F" w:rsidRDefault="00E82657" w:rsidP="0049425D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b/>
                <w:sz w:val="20"/>
                <w:szCs w:val="20"/>
              </w:rPr>
              <w:t>Složení doplňkové látky:</w:t>
            </w:r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Maduramicin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amonný alfa: 10 g/kg sodná sůl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karboxymethylcelulózy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: 20 g/kg dihydrát síranu vápenatého: 970 g/kg </w:t>
            </w:r>
          </w:p>
          <w:p w14:paraId="6C898DE6" w14:textId="77777777" w:rsidR="00E82657" w:rsidRPr="00514C9F" w:rsidRDefault="00E82657" w:rsidP="0049425D">
            <w:pPr>
              <w:pStyle w:val="CM1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b/>
                <w:sz w:val="20"/>
                <w:szCs w:val="20"/>
              </w:rPr>
              <w:t>Účinná látka:</w:t>
            </w:r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Maduramicin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amonný alfa C 47H 83O 17N Číslo CAS: 84878-61-5 Amonná sůl kyseliny (2R, 3S, 4S, 5R, 6S)-6[(1R)-1- [(2S,5R,7S,8R,9S)-2- [2S,2’R,3’S,5R,5 ‚R)-3’-[(2,6-dideoxy-3,4-di- O-methyl-β-L-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arabinohexopyra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nosyl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oxy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]-octahydro-2- methyl-5’-[(2S,3S,5R,6S)- tetrahydro-6-hydroxy-3,5,6- trimethyl-2H-pyran- 2-yl][2,2’-bifuran]-5-yl]-9- hydroxy-2,8-dimethy- 1,6dioxaspirol[4.5]dec-7-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yl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>]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ethyl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>]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tetrahydr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o-2-hydroxy-4,5- dimethoxy-3- methyl-3H-pyran-2- octové</w:t>
            </w:r>
            <w:r w:rsidRPr="00514C9F">
              <w:rPr>
                <w:sz w:val="20"/>
                <w:szCs w:val="20"/>
              </w:rPr>
              <w:t xml:space="preserve"> </w:t>
            </w:r>
            <w:r w:rsidRPr="00514C9F">
              <w:rPr>
                <w:rFonts w:ascii="Times New Roman" w:hAnsi="Times New Roman"/>
                <w:sz w:val="20"/>
                <w:szCs w:val="20"/>
              </w:rPr>
              <w:t xml:space="preserve">produkovaná při fermentačním procesu kmenem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Actinomadura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yumaensis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NRRL 12515: ≥ 90 %.  </w:t>
            </w:r>
          </w:p>
          <w:p w14:paraId="7415A118" w14:textId="77777777" w:rsidR="00E82657" w:rsidRPr="00514C9F" w:rsidRDefault="00E82657" w:rsidP="0049425D">
            <w:pPr>
              <w:pStyle w:val="CM1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b/>
                <w:sz w:val="20"/>
                <w:szCs w:val="20"/>
              </w:rPr>
              <w:t>Přidružené nečistoty:</w:t>
            </w:r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Maduramicin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amonný beta: ≤ 1 %.</w:t>
            </w:r>
          </w:p>
          <w:p w14:paraId="7CD20F53" w14:textId="77777777" w:rsidR="00E82657" w:rsidRPr="00514C9F" w:rsidRDefault="00E82657" w:rsidP="0049425D">
            <w:pPr>
              <w:pStyle w:val="CM1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b/>
                <w:sz w:val="20"/>
                <w:szCs w:val="20"/>
              </w:rPr>
              <w:t>Analytická metoda</w:t>
            </w:r>
            <w:r w:rsidRPr="00514C9F">
              <w:rPr>
                <w:rFonts w:ascii="Times New Roman" w:hAnsi="Times New Roman"/>
                <w:sz w:val="20"/>
                <w:szCs w:val="20"/>
              </w:rPr>
              <w:t xml:space="preserve"> (*): Stanovení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maduramicinu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amonného alfa v doplňkové látce,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premixech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a krmivech: metodou vysokoúčinné </w:t>
            </w:r>
            <w:r w:rsidRPr="00514C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kapalinové chromatografie (HPLC) na reverzní fázi s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postkolonovou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derivatizací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vanilinem a detekcí při 520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— EN 15781:2009. </w:t>
            </w:r>
          </w:p>
          <w:p w14:paraId="21A2DBDD" w14:textId="77777777" w:rsidR="00E82657" w:rsidRPr="00514C9F" w:rsidRDefault="00E82657" w:rsidP="0049425D">
            <w:pPr>
              <w:pStyle w:val="Default"/>
            </w:pPr>
            <w:r w:rsidRPr="00514C9F">
              <w:rPr>
                <w:sz w:val="20"/>
                <w:szCs w:val="20"/>
              </w:rPr>
              <w:t xml:space="preserve">Stanovení reziduí </w:t>
            </w:r>
            <w:proofErr w:type="spellStart"/>
            <w:r w:rsidRPr="00514C9F">
              <w:rPr>
                <w:sz w:val="20"/>
                <w:szCs w:val="20"/>
              </w:rPr>
              <w:t>maduramicinu</w:t>
            </w:r>
            <w:proofErr w:type="spellEnd"/>
            <w:r w:rsidRPr="00514C9F">
              <w:rPr>
                <w:sz w:val="20"/>
                <w:szCs w:val="20"/>
              </w:rPr>
              <w:t xml:space="preserve"> amonného alfa v játrech a svalovině: metodou vysokoúčinné kapalinové chromatografie (HPLC) na reverzní fázi s tandemovou hmotnostní detekcí.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D978BC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color w:val="000000"/>
                <w:sz w:val="20"/>
                <w:szCs w:val="20"/>
                <w:lang w:val="cs-CZ"/>
              </w:rPr>
              <w:lastRenderedPageBreak/>
              <w:t xml:space="preserve">Výkrm kuřat </w:t>
            </w:r>
            <w:r w:rsidRPr="00514C9F">
              <w:rPr>
                <w:color w:val="000000"/>
                <w:sz w:val="20"/>
                <w:szCs w:val="20"/>
                <w:vertAlign w:val="superscript"/>
                <w:lang w:val="cs-CZ"/>
              </w:rPr>
              <w:t>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9C120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514C9F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72DA25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77809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34CCC1" w14:textId="77777777" w:rsidR="00E82657" w:rsidRPr="00514C9F" w:rsidRDefault="00E82657" w:rsidP="0049425D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sz w:val="20"/>
                <w:szCs w:val="20"/>
              </w:rPr>
              <w:t xml:space="preserve">1. Doplňková látka se do krmné směsi musí zapracovat ve formě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premixu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AA00000" w14:textId="77777777" w:rsidR="00E82657" w:rsidRPr="00514C9F" w:rsidRDefault="00E82657" w:rsidP="0049425D">
            <w:pPr>
              <w:pStyle w:val="CM1"/>
              <w:spacing w:before="200" w:after="200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Maduramicin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amonný alfa se nesmí mísit s jinými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kokcidiostatiky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. 3. V návodu k použití musí být uvedeno: „Nebezpečné pro koňovité.“ „Toto krmivo obsahuje ionofor: podávání této látky současně s některými léčebnými látkami (např.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tiamulinem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) může být kontraindikováno.“ </w:t>
            </w:r>
          </w:p>
          <w:p w14:paraId="572CCB74" w14:textId="77777777" w:rsidR="00E82657" w:rsidRPr="00514C9F" w:rsidRDefault="00E82657" w:rsidP="0049425D">
            <w:pPr>
              <w:pStyle w:val="CM1"/>
              <w:spacing w:before="200" w:after="200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sz w:val="20"/>
                <w:szCs w:val="20"/>
              </w:rPr>
              <w:t xml:space="preserve">4. Bezpečnost: během manipulace se musí používat prostředky k ochraně dýchacích cest a bezpečnostní brýle a rukavice. </w:t>
            </w:r>
          </w:p>
          <w:p w14:paraId="6C85F79B" w14:textId="77777777" w:rsidR="00E82657" w:rsidRPr="00514C9F" w:rsidRDefault="00E82657" w:rsidP="0049425D">
            <w:pPr>
              <w:pStyle w:val="CM1"/>
              <w:spacing w:before="200" w:after="200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sz w:val="20"/>
                <w:szCs w:val="20"/>
              </w:rPr>
              <w:t xml:space="preserve">5. Držitel povolení naplánuje a provede program monitorování po </w:t>
            </w:r>
            <w:r w:rsidRPr="00514C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uvedení na trh ohledně odolnosti vůči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Eimeria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spp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A78E6AC" w14:textId="77777777" w:rsidR="00E82657" w:rsidRPr="00514C9F" w:rsidRDefault="00E82657" w:rsidP="0049425D">
            <w:pPr>
              <w:pStyle w:val="CM1"/>
              <w:spacing w:before="200" w:after="200"/>
              <w:rPr>
                <w:sz w:val="20"/>
                <w:szCs w:val="20"/>
              </w:rPr>
            </w:pPr>
            <w:r w:rsidRPr="00514C9F">
              <w:rPr>
                <w:rFonts w:ascii="Times New Roman" w:hAnsi="Times New Roman"/>
                <w:sz w:val="20"/>
                <w:szCs w:val="20"/>
              </w:rPr>
              <w:t>6. Ochranná lhůta nejméně tři dny před porážkou.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364DF2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lastRenderedPageBreak/>
              <w:t>10.5.2021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140" w14:textId="77777777" w:rsidR="00E82657" w:rsidRPr="00514C9F" w:rsidRDefault="00E82657" w:rsidP="0049425D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sz w:val="20"/>
                <w:szCs w:val="20"/>
              </w:rPr>
              <w:t xml:space="preserve">150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maduramicinu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amonného alfa/kg jater, kůže a tuku v syrovém stavu; 100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maduramicinu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amonného alfa/kg ledvin v syrovém stavu; 30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C9F">
              <w:rPr>
                <w:rFonts w:ascii="Times New Roman" w:hAnsi="Times New Roman"/>
                <w:sz w:val="20"/>
                <w:szCs w:val="20"/>
              </w:rPr>
              <w:t>maduramicinu</w:t>
            </w:r>
            <w:proofErr w:type="spellEnd"/>
            <w:r w:rsidRPr="00514C9F">
              <w:rPr>
                <w:rFonts w:ascii="Times New Roman" w:hAnsi="Times New Roman"/>
                <w:sz w:val="20"/>
                <w:szCs w:val="20"/>
              </w:rPr>
              <w:t xml:space="preserve"> amonného alfa/kg svaloviny v syrovém stavu.</w:t>
            </w:r>
          </w:p>
        </w:tc>
      </w:tr>
    </w:tbl>
    <w:p w14:paraId="54A230CA" w14:textId="77777777" w:rsidR="00E82657" w:rsidRPr="00514C9F" w:rsidRDefault="0095461B" w:rsidP="00E82657">
      <w:pPr>
        <w:pStyle w:val="CM1"/>
        <w:widowControl w:val="0"/>
        <w:rPr>
          <w:rFonts w:ascii="Times New Roman" w:hAnsi="Times New Roman"/>
          <w:sz w:val="20"/>
          <w:szCs w:val="20"/>
        </w:rPr>
      </w:pPr>
      <w:r w:rsidRPr="00514C9F">
        <w:rPr>
          <w:rFonts w:ascii="Times New Roman" w:hAnsi="Times New Roman"/>
          <w:sz w:val="20"/>
          <w:szCs w:val="20"/>
        </w:rPr>
        <w:t>*</w:t>
      </w:r>
      <w:r w:rsidR="00E82657" w:rsidRPr="00514C9F">
        <w:rPr>
          <w:rFonts w:ascii="Times New Roman" w:hAnsi="Times New Roman"/>
          <w:sz w:val="20"/>
          <w:szCs w:val="20"/>
        </w:rPr>
        <w:t xml:space="preserve"> Podrobné informace o analytických metodách lze získat na internetové stránce referenční laboratoře Evropské unie pro doplňkové látky: </w:t>
      </w:r>
      <w:hyperlink r:id="rId9" w:history="1">
        <w:r w:rsidRPr="00514C9F">
          <w:rPr>
            <w:rStyle w:val="Hypertextovodkaz"/>
            <w:rFonts w:ascii="Times New Roman" w:hAnsi="Times New Roman"/>
            <w:sz w:val="20"/>
            <w:szCs w:val="20"/>
          </w:rPr>
          <w:t>www.irmm.jrc.be/eurl-feed-additives</w:t>
        </w:r>
      </w:hyperlink>
    </w:p>
    <w:p w14:paraId="6D368B2C" w14:textId="04040851" w:rsidR="0095461B" w:rsidRDefault="009E534D" w:rsidP="0095461B">
      <w:pPr>
        <w:pStyle w:val="Default"/>
        <w:rPr>
          <w:sz w:val="20"/>
          <w:szCs w:val="20"/>
        </w:rPr>
      </w:pPr>
      <w:r w:rsidRPr="009E534D">
        <w:rPr>
          <w:sz w:val="20"/>
          <w:szCs w:val="20"/>
        </w:rPr>
        <w:t>*</w:t>
      </w:r>
      <w:r w:rsidR="00150D93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150D93" w:rsidRPr="00514C9F">
        <w:rPr>
          <w:sz w:val="20"/>
          <w:szCs w:val="20"/>
        </w:rPr>
        <w:t>Podrobné informace o analytických metodách lze získat na internetové stránce referenční laboratoře</w:t>
      </w:r>
      <w:r w:rsidR="00150D93">
        <w:rPr>
          <w:sz w:val="20"/>
          <w:szCs w:val="20"/>
        </w:rPr>
        <w:t xml:space="preserve">: </w:t>
      </w:r>
      <w:hyperlink r:id="rId10" w:history="1">
        <w:r w:rsidR="007A5B9B" w:rsidRPr="000B4B2A">
          <w:rPr>
            <w:rStyle w:val="Hypertextovodkaz"/>
            <w:sz w:val="20"/>
            <w:szCs w:val="20"/>
          </w:rPr>
          <w:t>https://joint-research-centre.ec.europa.eu/eurl-fa-eurl-feed-additives/eurl-fa-authorisation/eurl-fa-evaluation-rep</w:t>
        </w:r>
        <w:r w:rsidR="007A5B9B" w:rsidRPr="000B4B2A">
          <w:rPr>
            <w:rStyle w:val="Hypertextovodkaz"/>
            <w:sz w:val="20"/>
            <w:szCs w:val="20"/>
          </w:rPr>
          <w:t>o</w:t>
        </w:r>
        <w:r w:rsidR="007A5B9B" w:rsidRPr="000B4B2A">
          <w:rPr>
            <w:rStyle w:val="Hypertextovodkaz"/>
            <w:sz w:val="20"/>
            <w:szCs w:val="20"/>
          </w:rPr>
          <w:t>rts_en</w:t>
        </w:r>
      </w:hyperlink>
    </w:p>
    <w:p w14:paraId="48434DCC" w14:textId="77777777" w:rsidR="007A5B9B" w:rsidRPr="009E534D" w:rsidRDefault="007A5B9B" w:rsidP="0095461B">
      <w:pPr>
        <w:pStyle w:val="Default"/>
        <w:rPr>
          <w:sz w:val="20"/>
          <w:szCs w:val="20"/>
        </w:rPr>
      </w:pPr>
    </w:p>
    <w:p w14:paraId="6086165C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1314BF89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  <w:r w:rsidRPr="00514C9F">
        <w:rPr>
          <w:color w:val="000000"/>
          <w:szCs w:val="20"/>
          <w:lang w:val="cs-CZ"/>
        </w:rPr>
        <w:br w:type="page"/>
      </w: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1134"/>
        <w:gridCol w:w="1251"/>
      </w:tblGrid>
      <w:tr w:rsidR="00E82657" w:rsidRPr="00514C9F" w14:paraId="477F2FF9" w14:textId="77777777" w:rsidTr="0049425D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04A4C4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r w:rsidRPr="00514C9F">
              <w:rPr>
                <w:lang w:val="cs-CZ"/>
              </w:rPr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31BD4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6384BD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08C1CC7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CE0A3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46B763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A1F9D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75FA5DE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0F08A7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FC7EF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9EFEF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A7A5D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202B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E82657" w:rsidRPr="00514C9F" w14:paraId="4E1303B0" w14:textId="77777777" w:rsidTr="0049425D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60493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E569B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158E3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2FE7E3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3C1B4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4F062C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09D47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528BC3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C93B7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6AB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610980D2" w14:textId="77777777" w:rsidTr="0049425D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81616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82D74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88B7D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1601D48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42161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555E67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773DF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8912BA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44C0B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A13F6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7523C625" w14:textId="77777777" w:rsidTr="0049425D">
        <w:trPr>
          <w:trHeight w:val="21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9FD98C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5</w:t>
            </w:r>
            <w:r w:rsidR="00125E52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1</w:t>
            </w:r>
            <w:r w:rsidR="00125E52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771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69A0DB" w14:textId="77777777" w:rsidR="00E82657" w:rsidRPr="00125E52" w:rsidRDefault="00C0388F" w:rsidP="0049425D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Elanco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 w:rsidRPr="00C0388F">
              <w:rPr>
                <w:sz w:val="20"/>
                <w:lang w:val="cs-CZ"/>
              </w:rPr>
              <w:t>GmbH</w:t>
            </w:r>
            <w:proofErr w:type="spellEnd"/>
            <w:r>
              <w:rPr>
                <w:sz w:val="20"/>
                <w:vertAlign w:val="superscript"/>
                <w:lang w:val="cs-CZ"/>
              </w:rPr>
              <w:t xml:space="preserve"> 49) </w:t>
            </w:r>
            <w:r w:rsidRPr="00C0388F">
              <w:rPr>
                <w:sz w:val="20"/>
                <w:vertAlign w:val="superscript"/>
                <w:lang w:val="cs-CZ"/>
              </w:rPr>
              <w:t>58</w:t>
            </w:r>
            <w:r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4CD8F6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0,5 g/100 g (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Clinacox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0,5 %)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2C2252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b/>
                <w:color w:val="000000"/>
                <w:sz w:val="20"/>
                <w:szCs w:val="20"/>
                <w:lang w:val="cs-CZ"/>
              </w:rPr>
              <w:t>Složení doplňkové látky:</w:t>
            </w: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: 0,50 g/100 g. Sójová moučka s nízkým obsahem proteinu: 99,25 g/100 g </w:t>
            </w:r>
          </w:p>
          <w:p w14:paraId="712D6C2B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Polyvidon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K 30: 0,20 g/100 g Hydroxid sodný: 0,05 g/100 g </w:t>
            </w:r>
          </w:p>
          <w:p w14:paraId="769B994A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  <w:p w14:paraId="4A54ACD6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b/>
                <w:color w:val="000000"/>
                <w:sz w:val="20"/>
                <w:szCs w:val="20"/>
                <w:lang w:val="cs-CZ"/>
              </w:rPr>
              <w:t xml:space="preserve">Charakteristika účinné látky: </w:t>
            </w:r>
          </w:p>
          <w:p w14:paraId="2D775872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, C 17H 9Cl 3N 4O 2, (</w:t>
            </w:r>
            <w:proofErr w:type="gram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±)-</w:t>
            </w:r>
            <w:proofErr w:type="gram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4-chlorofenyl[2,6-dichloro-4- (2,3,4,5-tetrahydro-3,5-dioxo-1,2,4-triazin-2-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yl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)fenyl]acetonitril, Číslo </w:t>
            </w:r>
          </w:p>
          <w:p w14:paraId="5688EAEC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CAS: 101831-37-2 </w:t>
            </w:r>
          </w:p>
          <w:p w14:paraId="5DA953F2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Přidružené nečistoty: Sloučeniny z odbourávání (R064318): ≤ 0,1 % </w:t>
            </w:r>
          </w:p>
          <w:p w14:paraId="4406608D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Další přidružené nečistoty (T001434, R066891, R068610, R070156, R070016): ≤ 0,5 % jednotlivě </w:t>
            </w:r>
          </w:p>
          <w:p w14:paraId="43B2E1CE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Nečistoty celkem: ≤ 1,5 % </w:t>
            </w:r>
          </w:p>
          <w:p w14:paraId="408D7AD8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  <w:p w14:paraId="0EAE9699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b/>
                <w:color w:val="000000"/>
                <w:sz w:val="20"/>
                <w:szCs w:val="20"/>
                <w:lang w:val="cs-CZ"/>
              </w:rPr>
              <w:t>Analytická metoda</w:t>
            </w: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*:</w:t>
            </w:r>
          </w:p>
          <w:p w14:paraId="5AD43529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diclazurilu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v krmivu:</w:t>
            </w:r>
          </w:p>
          <w:p w14:paraId="1A084DF9" w14:textId="77777777" w:rsidR="00E82657" w:rsidRPr="00514C9F" w:rsidRDefault="00E82657" w:rsidP="004942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vysokoúčinná kapalinová chromatografie (HPLC) na reverzní fázi s UV detekcí při vlnové délce 280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nm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lastRenderedPageBreak/>
              <w:t xml:space="preserve">(nařízení (ES) č. 152/2009) </w:t>
            </w:r>
            <w:r w:rsidRPr="00514C9F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(</w:t>
            </w:r>
            <w:r w:rsidRPr="00514C9F">
              <w:rPr>
                <w:color w:val="000000"/>
                <w:sz w:val="20"/>
                <w:szCs w:val="20"/>
                <w:vertAlign w:val="superscript"/>
                <w:lang w:val="cs-CZ"/>
              </w:rPr>
              <w:t>Σ</w:t>
            </w:r>
            <w:r w:rsidRPr="00514C9F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)</w:t>
            </w: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.</w:t>
            </w:r>
          </w:p>
          <w:p w14:paraId="4BA40865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diclazurilu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v drůbežích tkáních: </w:t>
            </w:r>
          </w:p>
          <w:p w14:paraId="6EE2FAB5" w14:textId="77777777" w:rsidR="00E82657" w:rsidRPr="00514C9F" w:rsidRDefault="00E82657" w:rsidP="004942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HPLC ve spojení s hmotnostním spektrometrem s trojitým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quadrupolem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(MS/MS) s využitím jednoho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prekurzorového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iontu a dvou produktových iontů.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B8E0C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lastRenderedPageBreak/>
              <w:t xml:space="preserve">Výkrm kuřat </w:t>
            </w:r>
            <w:r w:rsidRPr="00514C9F">
              <w:rPr>
                <w:sz w:val="20"/>
                <w:szCs w:val="20"/>
                <w:vertAlign w:val="superscript"/>
                <w:lang w:val="cs-CZ"/>
              </w:rPr>
              <w:t>38)</w:t>
            </w:r>
          </w:p>
          <w:p w14:paraId="1394D372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806E04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514C9F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0972B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8363A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91B5FC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1. Doplňková látka se do krmné směsi musí zapracovat ve formě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premixu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. </w:t>
            </w:r>
          </w:p>
          <w:p w14:paraId="5DFF5B9D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2.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se nesmí mísit s jinými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kokcidiostatiky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. </w:t>
            </w:r>
          </w:p>
          <w:p w14:paraId="286A726C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3. Bezpečnost: během manipulace se musí používat prostředky k ochraně dýchacích cest a nosit bezpečnostní brýle a rukavice. </w:t>
            </w:r>
          </w:p>
          <w:p w14:paraId="16B471A7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4. Držitel povolení uskuteční program monitorování po uvedení na trh týkající se odolnosti vůči bakteriím a/nebo </w:t>
            </w:r>
            <w:proofErr w:type="spellStart"/>
            <w:r w:rsidRPr="00514C9F">
              <w:rPr>
                <w:rFonts w:cs="EUAlbertina"/>
                <w:i/>
                <w:color w:val="000000"/>
                <w:sz w:val="20"/>
                <w:szCs w:val="20"/>
                <w:lang w:val="cs-CZ"/>
              </w:rPr>
              <w:t>Eimeria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spp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8D409" w14:textId="77777777" w:rsidR="00E82657" w:rsidRPr="00514C9F" w:rsidRDefault="00E82657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23.12.2020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B11DE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1 500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μg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diclazurilu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/kg jater v syrovém stavu </w:t>
            </w:r>
          </w:p>
          <w:p w14:paraId="3F995F1E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1 000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μg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diclazurilu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/kg ledvin v syrovém stavu </w:t>
            </w:r>
          </w:p>
          <w:p w14:paraId="79E2EA45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500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μg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diclazurilu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/kg svalů v syrovém stavu </w:t>
            </w:r>
          </w:p>
          <w:p w14:paraId="11425A3F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500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μg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diclazurilu</w:t>
            </w:r>
            <w:proofErr w:type="spellEnd"/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/kg kůže/tuku v syrovém stavu</w:t>
            </w:r>
          </w:p>
          <w:p w14:paraId="398CDC0F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  <w:p w14:paraId="6BE2F5A0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  <w:p w14:paraId="7CF5F495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  <w:p w14:paraId="02B4E2E8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  <w:p w14:paraId="70718B9C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  <w:p w14:paraId="4F05DBC1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  <w:p w14:paraId="2ECC643D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  <w:p w14:paraId="722E4BED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Nařízení Komise (EU) č. 37/2010 </w:t>
            </w:r>
            <w:r w:rsidRPr="00514C9F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(</w:t>
            </w:r>
            <w:r w:rsidRPr="00514C9F">
              <w:rPr>
                <w:color w:val="000000"/>
                <w:sz w:val="20"/>
                <w:szCs w:val="20"/>
                <w:vertAlign w:val="superscript"/>
                <w:lang w:val="cs-CZ"/>
              </w:rPr>
              <w:t>Δ</w:t>
            </w:r>
            <w:r w:rsidRPr="00514C9F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)</w:t>
            </w:r>
          </w:p>
        </w:tc>
      </w:tr>
      <w:tr w:rsidR="00E82657" w:rsidRPr="00514C9F" w14:paraId="02710697" w14:textId="77777777" w:rsidTr="0049425D">
        <w:trPr>
          <w:trHeight w:val="216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56DCD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02551F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8865A6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B04D8C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9BCF33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Perličky </w:t>
            </w:r>
            <w:r w:rsidRPr="00514C9F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39)</w:t>
            </w:r>
          </w:p>
          <w:p w14:paraId="15689B1E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137B3A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514C9F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6B5C27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BB1637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5011D9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C991D0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16.3. 2021</w:t>
            </w:r>
          </w:p>
          <w:p w14:paraId="15EBCC8E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31DF5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53AF85B8" w14:textId="77777777" w:rsidTr="0049425D">
        <w:trPr>
          <w:trHeight w:val="216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168661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2E0193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FF0FB6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0A9281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A35374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Výkrm krůt </w:t>
            </w:r>
            <w:r w:rsidRPr="00514C9F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C554E5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514C9F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56A12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71CF8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325C62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0EF13F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26.9.2021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9C8F7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7D48CBAA" w14:textId="77777777" w:rsidTr="0049425D">
        <w:trPr>
          <w:trHeight w:val="216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A9C375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BC0A49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E387DC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DFC7C8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001ABA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Odchov kuřat a kuřice </w:t>
            </w:r>
            <w:r w:rsidRPr="00514C9F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0E0799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16 týdnů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62AA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DE6F9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6B5BBB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AADC0B" w14:textId="77777777" w:rsidR="00E82657" w:rsidRPr="00514C9F" w:rsidRDefault="00E82657" w:rsidP="0049425D">
            <w:pPr>
              <w:autoSpaceDE w:val="0"/>
              <w:autoSpaceDN w:val="0"/>
              <w:adjustRightInd w:val="0"/>
              <w:spacing w:before="120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514C9F">
              <w:rPr>
                <w:rFonts w:cs="EUAlbertina"/>
                <w:color w:val="000000"/>
                <w:sz w:val="20"/>
                <w:szCs w:val="20"/>
                <w:lang w:val="cs-CZ"/>
              </w:rPr>
              <w:t>2.8.2023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3F0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6CBA42C7" w14:textId="77777777" w:rsidR="00E82657" w:rsidRPr="00514C9F" w:rsidRDefault="00E82657" w:rsidP="0095461B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lang w:val="cs-CZ"/>
        </w:rPr>
        <w:t>*Podrobné informace o analytických metodách lze získat na internetové stránce refe</w:t>
      </w:r>
      <w:r w:rsidR="0095461B" w:rsidRPr="00514C9F">
        <w:rPr>
          <w:sz w:val="20"/>
          <w:szCs w:val="20"/>
          <w:lang w:val="cs-CZ"/>
        </w:rPr>
        <w:t xml:space="preserve">renční laboratoře Společenství: </w:t>
      </w:r>
      <w:hyperlink r:id="rId11" w:history="1">
        <w:r w:rsidR="0095461B" w:rsidRPr="00514C9F">
          <w:rPr>
            <w:rStyle w:val="Hypertextovodkaz"/>
            <w:sz w:val="20"/>
            <w:szCs w:val="20"/>
            <w:lang w:val="cs-CZ"/>
          </w:rPr>
          <w:t>http://irmm.jrc.ec.europa.eu/EURLs/EURL_feed_additives/Pages/index.aspx</w:t>
        </w:r>
      </w:hyperlink>
    </w:p>
    <w:p w14:paraId="40A0AD2D" w14:textId="77777777" w:rsidR="00E82657" w:rsidRPr="00514C9F" w:rsidRDefault="00E82657" w:rsidP="00E82657">
      <w:pPr>
        <w:ind w:left="720"/>
        <w:rPr>
          <w:sz w:val="20"/>
          <w:szCs w:val="20"/>
          <w:lang w:val="cs-CZ"/>
        </w:rPr>
      </w:pPr>
    </w:p>
    <w:p w14:paraId="6F206BF0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lang w:val="cs-CZ"/>
        </w:rPr>
        <w:t xml:space="preserve">Σ – </w:t>
      </w:r>
      <w:proofErr w:type="spellStart"/>
      <w:r w:rsidRPr="00514C9F">
        <w:rPr>
          <w:sz w:val="20"/>
          <w:szCs w:val="20"/>
          <w:lang w:val="cs-CZ"/>
        </w:rPr>
        <w:t>Úř</w:t>
      </w:r>
      <w:proofErr w:type="spellEnd"/>
      <w:r w:rsidRPr="00514C9F">
        <w:rPr>
          <w:sz w:val="20"/>
          <w:szCs w:val="20"/>
          <w:lang w:val="cs-CZ"/>
        </w:rPr>
        <w:t xml:space="preserve">. </w:t>
      </w:r>
      <w:proofErr w:type="spellStart"/>
      <w:r w:rsidRPr="00514C9F">
        <w:rPr>
          <w:sz w:val="20"/>
          <w:szCs w:val="20"/>
          <w:lang w:val="cs-CZ"/>
        </w:rPr>
        <w:t>věst</w:t>
      </w:r>
      <w:proofErr w:type="spellEnd"/>
      <w:r w:rsidRPr="00514C9F">
        <w:rPr>
          <w:sz w:val="20"/>
          <w:szCs w:val="20"/>
          <w:lang w:val="cs-CZ"/>
        </w:rPr>
        <w:t>. L 54, 26.2.2009, s. 1</w:t>
      </w:r>
    </w:p>
    <w:p w14:paraId="49D9D929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lang w:val="cs-CZ"/>
        </w:rPr>
        <w:t xml:space="preserve">Δ – </w:t>
      </w:r>
      <w:proofErr w:type="spellStart"/>
      <w:r w:rsidRPr="00514C9F">
        <w:rPr>
          <w:sz w:val="20"/>
          <w:szCs w:val="20"/>
          <w:lang w:val="cs-CZ"/>
        </w:rPr>
        <w:t>Úř</w:t>
      </w:r>
      <w:proofErr w:type="spellEnd"/>
      <w:r w:rsidRPr="00514C9F">
        <w:rPr>
          <w:sz w:val="20"/>
          <w:szCs w:val="20"/>
          <w:lang w:val="cs-CZ"/>
        </w:rPr>
        <w:t xml:space="preserve">. </w:t>
      </w:r>
      <w:proofErr w:type="spellStart"/>
      <w:r w:rsidRPr="00514C9F">
        <w:rPr>
          <w:sz w:val="20"/>
          <w:szCs w:val="20"/>
          <w:lang w:val="cs-CZ"/>
        </w:rPr>
        <w:t>věst</w:t>
      </w:r>
      <w:proofErr w:type="spellEnd"/>
      <w:r w:rsidRPr="00514C9F">
        <w:rPr>
          <w:sz w:val="20"/>
          <w:szCs w:val="20"/>
          <w:lang w:val="cs-CZ"/>
        </w:rPr>
        <w:t>. L 15, 20.1.2010, s. 1</w:t>
      </w:r>
    </w:p>
    <w:p w14:paraId="456CE737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7DEF0357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  <w:r w:rsidRPr="00514C9F">
        <w:rPr>
          <w:color w:val="000000"/>
          <w:szCs w:val="20"/>
          <w:lang w:val="cs-CZ"/>
        </w:rPr>
        <w:br w:type="page"/>
      </w: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1134"/>
        <w:gridCol w:w="1251"/>
      </w:tblGrid>
      <w:tr w:rsidR="00E82657" w:rsidRPr="00514C9F" w14:paraId="3BC24D5D" w14:textId="77777777" w:rsidTr="0049425D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60230E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r w:rsidRPr="00514C9F">
              <w:rPr>
                <w:lang w:val="cs-CZ"/>
              </w:rPr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2DB31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83B6AF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2A84679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87EDF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DC1073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3E340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5A5DC33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A17A97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8CD1DC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FD776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DA5EC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36A4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E82657" w:rsidRPr="00514C9F" w14:paraId="3E928AD0" w14:textId="77777777" w:rsidTr="0049425D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1EBB8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0C321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EA30E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62457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0FA75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393AEE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A9251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B00A90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61BBC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E48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12160B47" w14:textId="77777777" w:rsidTr="0049425D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E434B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C8151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DD284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05F3CB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A8AA7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1A098B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0F2CC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3679A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E5086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812FD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0D30F776" w14:textId="77777777" w:rsidTr="0049425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BB5C09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5 1 772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C6BCC8" w14:textId="77777777" w:rsidR="00E82657" w:rsidRPr="00F364DD" w:rsidRDefault="00F364DD" w:rsidP="0049425D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Elanco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GmbH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4513B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NARASIN </w:t>
            </w:r>
            <w:smartTag w:uri="urn:schemas-microsoft-com:office:smarttags" w:element="metricconverter">
              <w:smartTagPr>
                <w:attr w:name="ProductID" w:val="80ﾠg"/>
              </w:smartTagPr>
              <w:r w:rsidRPr="00514C9F">
                <w:rPr>
                  <w:sz w:val="20"/>
                  <w:lang w:val="cs-CZ"/>
                </w:rPr>
                <w:t>80 g</w:t>
              </w:r>
            </w:smartTag>
            <w:r w:rsidRPr="00514C9F">
              <w:rPr>
                <w:sz w:val="20"/>
                <w:lang w:val="cs-CZ"/>
              </w:rPr>
              <w:t xml:space="preserve"> aktivity/kg  </w:t>
            </w:r>
          </w:p>
          <w:p w14:paraId="4411D26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7AC2B15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NIKARBAZIN </w:t>
            </w:r>
            <w:smartTag w:uri="urn:schemas-microsoft-com:office:smarttags" w:element="metricconverter">
              <w:smartTagPr>
                <w:attr w:name="ProductID" w:val="80ﾠg"/>
              </w:smartTagPr>
              <w:r w:rsidRPr="00514C9F">
                <w:rPr>
                  <w:sz w:val="20"/>
                  <w:lang w:val="cs-CZ"/>
                </w:rPr>
                <w:t>80 g</w:t>
              </w:r>
            </w:smartTag>
            <w:r w:rsidRPr="00514C9F">
              <w:rPr>
                <w:sz w:val="20"/>
                <w:lang w:val="cs-CZ"/>
              </w:rPr>
              <w:t xml:space="preserve"> aktivity/kg</w:t>
            </w:r>
          </w:p>
          <w:p w14:paraId="1A19EEE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6FEE283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Maxiban</w:t>
            </w:r>
            <w:proofErr w:type="spellEnd"/>
            <w:r w:rsidRPr="00514C9F">
              <w:rPr>
                <w:sz w:val="20"/>
                <w:lang w:val="cs-CZ"/>
              </w:rPr>
              <w:t xml:space="preserve"> G 160)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8AD20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složení doplňkové látky:</w:t>
            </w:r>
          </w:p>
          <w:p w14:paraId="4EA91C8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narasin</w:t>
            </w:r>
            <w:proofErr w:type="spellEnd"/>
            <w:r w:rsidRPr="00514C9F">
              <w:rPr>
                <w:sz w:val="20"/>
                <w:lang w:val="cs-CZ"/>
              </w:rPr>
              <w:t xml:space="preserve">: </w:t>
            </w:r>
            <w:smartTag w:uri="urn:schemas-microsoft-com:office:smarttags" w:element="metricconverter">
              <w:smartTagPr>
                <w:attr w:name="ProductID" w:val="80ﾠg"/>
              </w:smartTagPr>
              <w:r w:rsidRPr="00514C9F">
                <w:rPr>
                  <w:sz w:val="20"/>
                  <w:lang w:val="cs-CZ"/>
                </w:rPr>
                <w:t>80 g</w:t>
              </w:r>
            </w:smartTag>
            <w:r w:rsidRPr="00514C9F">
              <w:rPr>
                <w:sz w:val="20"/>
                <w:lang w:val="cs-CZ"/>
              </w:rPr>
              <w:t xml:space="preserve"> aktivity/kg</w:t>
            </w:r>
          </w:p>
          <w:p w14:paraId="48B959A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nikarbazin</w:t>
            </w:r>
            <w:proofErr w:type="spellEnd"/>
            <w:r w:rsidRPr="00514C9F">
              <w:rPr>
                <w:sz w:val="20"/>
                <w:lang w:val="cs-CZ"/>
              </w:rPr>
              <w:t xml:space="preserve">: </w:t>
            </w:r>
            <w:smartTag w:uri="urn:schemas-microsoft-com:office:smarttags" w:element="metricconverter">
              <w:smartTagPr>
                <w:attr w:name="ProductID" w:val="80ﾠg"/>
              </w:smartTagPr>
              <w:r w:rsidRPr="00514C9F">
                <w:rPr>
                  <w:sz w:val="20"/>
                  <w:lang w:val="cs-CZ"/>
                </w:rPr>
                <w:t>80 g</w:t>
              </w:r>
            </w:smartTag>
            <w:r w:rsidRPr="00514C9F">
              <w:rPr>
                <w:sz w:val="20"/>
                <w:lang w:val="cs-CZ"/>
              </w:rPr>
              <w:t xml:space="preserve"> aktivity/kg</w:t>
            </w:r>
          </w:p>
          <w:p w14:paraId="09B0AB3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(poměr 1:1)</w:t>
            </w:r>
          </w:p>
          <w:p w14:paraId="59A43CA2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sojový</w:t>
            </w:r>
            <w:proofErr w:type="spellEnd"/>
            <w:r w:rsidRPr="00514C9F">
              <w:rPr>
                <w:sz w:val="20"/>
                <w:lang w:val="cs-CZ"/>
              </w:rPr>
              <w:t xml:space="preserve"> nebo minerální olej:</w:t>
            </w:r>
          </w:p>
          <w:p w14:paraId="0CB6F7C9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gramStart"/>
            <w:r w:rsidRPr="00514C9F">
              <w:rPr>
                <w:sz w:val="20"/>
                <w:lang w:val="cs-CZ"/>
              </w:rPr>
              <w:t>10 – 30</w:t>
            </w:r>
            <w:proofErr w:type="gramEnd"/>
            <w:r w:rsidRPr="00514C9F">
              <w:rPr>
                <w:sz w:val="20"/>
                <w:lang w:val="cs-CZ"/>
              </w:rPr>
              <w:t> g/kg</w:t>
            </w:r>
          </w:p>
          <w:p w14:paraId="624C80D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vermikulit: </w:t>
            </w:r>
            <w:proofErr w:type="gramStart"/>
            <w:r w:rsidRPr="00514C9F">
              <w:rPr>
                <w:sz w:val="20"/>
                <w:lang w:val="cs-CZ"/>
              </w:rPr>
              <w:t>0 – 20</w:t>
            </w:r>
            <w:proofErr w:type="gramEnd"/>
            <w:r w:rsidRPr="00514C9F">
              <w:rPr>
                <w:sz w:val="20"/>
                <w:lang w:val="cs-CZ"/>
              </w:rPr>
              <w:t> g/kg</w:t>
            </w:r>
          </w:p>
          <w:p w14:paraId="2BF748AB" w14:textId="77777777" w:rsidR="00E82657" w:rsidRPr="00F364DD" w:rsidRDefault="00E82657" w:rsidP="0049425D">
            <w:pPr>
              <w:rPr>
                <w:sz w:val="20"/>
                <w:vertAlign w:val="superscript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microtracer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t>Red</w:t>
            </w:r>
            <w:proofErr w:type="spellEnd"/>
            <w:r w:rsidRPr="00514C9F">
              <w:rPr>
                <w:sz w:val="20"/>
                <w:lang w:val="cs-CZ"/>
              </w:rPr>
              <w:t xml:space="preserve">: </w:t>
            </w:r>
            <w:r w:rsidR="00F364DD">
              <w:rPr>
                <w:sz w:val="20"/>
                <w:lang w:val="cs-CZ"/>
              </w:rPr>
              <w:t>4-</w:t>
            </w:r>
            <w:r w:rsidRPr="00514C9F">
              <w:rPr>
                <w:sz w:val="20"/>
                <w:lang w:val="cs-CZ"/>
              </w:rPr>
              <w:t>11 g/kg</w:t>
            </w:r>
            <w:r w:rsidR="00F364DD">
              <w:rPr>
                <w:sz w:val="20"/>
                <w:lang w:val="cs-CZ"/>
              </w:rPr>
              <w:t xml:space="preserve"> </w:t>
            </w:r>
            <w:r w:rsidR="00F364DD">
              <w:rPr>
                <w:sz w:val="20"/>
                <w:vertAlign w:val="superscript"/>
                <w:lang w:val="cs-CZ"/>
              </w:rPr>
              <w:t>57)</w:t>
            </w:r>
          </w:p>
          <w:p w14:paraId="48AB811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drť z kukuřičných palic nebo rýžové slupky do </w:t>
            </w:r>
            <w:smartTag w:uri="urn:schemas-microsoft-com:office:smarttags" w:element="metricconverter">
              <w:smartTagPr>
                <w:attr w:name="ProductID" w:val="1ﾠkg"/>
              </w:smartTagPr>
              <w:r w:rsidRPr="00514C9F">
                <w:rPr>
                  <w:sz w:val="20"/>
                  <w:lang w:val="cs-CZ"/>
                </w:rPr>
                <w:t>1 kg</w:t>
              </w:r>
            </w:smartTag>
          </w:p>
          <w:p w14:paraId="768344C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účinná látka:</w:t>
            </w:r>
          </w:p>
          <w:p w14:paraId="24F3BF06" w14:textId="77777777" w:rsidR="00E82657" w:rsidRPr="00514C9F" w:rsidRDefault="00E82657" w:rsidP="0049425D">
            <w:pPr>
              <w:rPr>
                <w:sz w:val="20"/>
                <w:vertAlign w:val="subscript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Narasin</w:t>
            </w:r>
            <w:proofErr w:type="spellEnd"/>
            <w:r w:rsidRPr="00514C9F">
              <w:rPr>
                <w:sz w:val="20"/>
                <w:lang w:val="cs-CZ"/>
              </w:rPr>
              <w:t>, C</w:t>
            </w:r>
            <w:r w:rsidRPr="00514C9F">
              <w:rPr>
                <w:sz w:val="20"/>
                <w:vertAlign w:val="subscript"/>
                <w:lang w:val="cs-CZ"/>
              </w:rPr>
              <w:t>43</w:t>
            </w:r>
            <w:r w:rsidRPr="00514C9F">
              <w:rPr>
                <w:sz w:val="20"/>
                <w:lang w:val="cs-CZ"/>
              </w:rPr>
              <w:t>H</w:t>
            </w:r>
            <w:r w:rsidRPr="00514C9F">
              <w:rPr>
                <w:sz w:val="20"/>
                <w:vertAlign w:val="subscript"/>
                <w:lang w:val="cs-CZ"/>
              </w:rPr>
              <w:t>72</w:t>
            </w:r>
            <w:r w:rsidRPr="00514C9F">
              <w:rPr>
                <w:sz w:val="20"/>
                <w:lang w:val="cs-CZ"/>
              </w:rPr>
              <w:t>O</w:t>
            </w:r>
            <w:r w:rsidRPr="00514C9F">
              <w:rPr>
                <w:sz w:val="20"/>
                <w:vertAlign w:val="subscript"/>
                <w:lang w:val="cs-CZ"/>
              </w:rPr>
              <w:t>11</w:t>
            </w:r>
          </w:p>
          <w:p w14:paraId="35F40C8B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číslo CAS: 55134-13-</w:t>
            </w:r>
            <w:proofErr w:type="gramStart"/>
            <w:r w:rsidRPr="00514C9F">
              <w:rPr>
                <w:sz w:val="20"/>
                <w:lang w:val="cs-CZ"/>
              </w:rPr>
              <w:t>9  (</w:t>
            </w:r>
            <w:proofErr w:type="spellStart"/>
            <w:proofErr w:type="gramEnd"/>
            <w:r w:rsidRPr="00514C9F">
              <w:rPr>
                <w:sz w:val="20"/>
                <w:lang w:val="cs-CZ"/>
              </w:rPr>
              <w:t>polyeter</w:t>
            </w:r>
            <w:proofErr w:type="spellEnd"/>
            <w:r w:rsidRPr="00514C9F">
              <w:rPr>
                <w:sz w:val="20"/>
                <w:lang w:val="cs-CZ"/>
              </w:rPr>
              <w:t xml:space="preserve"> monokarboxylové</w:t>
            </w:r>
          </w:p>
          <w:p w14:paraId="6E91EF49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kyseliny produkované </w:t>
            </w:r>
            <w:proofErr w:type="spellStart"/>
            <w:r w:rsidRPr="00514C9F">
              <w:rPr>
                <w:i/>
                <w:sz w:val="20"/>
                <w:lang w:val="cs-CZ"/>
              </w:rPr>
              <w:t>Streptomyces</w:t>
            </w:r>
            <w:proofErr w:type="spellEnd"/>
            <w:r w:rsidRPr="00514C9F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i/>
                <w:sz w:val="20"/>
                <w:lang w:val="cs-CZ"/>
              </w:rPr>
              <w:t>aureofaciens</w:t>
            </w:r>
            <w:proofErr w:type="spellEnd"/>
            <w:r w:rsidRPr="00514C9F">
              <w:rPr>
                <w:sz w:val="20"/>
                <w:lang w:val="cs-CZ"/>
              </w:rPr>
              <w:t xml:space="preserve"> (NRRL 8092), granulovaný), </w:t>
            </w:r>
          </w:p>
          <w:p w14:paraId="6F95A599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aktivita ≥ 85 % </w:t>
            </w:r>
            <w:proofErr w:type="spellStart"/>
            <w:r w:rsidRPr="00514C9F">
              <w:rPr>
                <w:sz w:val="20"/>
                <w:lang w:val="cs-CZ"/>
              </w:rPr>
              <w:t>Narazinu</w:t>
            </w:r>
            <w:proofErr w:type="spellEnd"/>
            <w:r w:rsidRPr="00514C9F">
              <w:rPr>
                <w:sz w:val="20"/>
                <w:lang w:val="cs-CZ"/>
              </w:rPr>
              <w:t xml:space="preserve"> A</w:t>
            </w:r>
          </w:p>
          <w:p w14:paraId="5AFED5F1" w14:textId="77777777" w:rsidR="00E82657" w:rsidRPr="00514C9F" w:rsidRDefault="00E82657" w:rsidP="0049425D">
            <w:pPr>
              <w:rPr>
                <w:sz w:val="20"/>
                <w:vertAlign w:val="subscript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Nikarbazin</w:t>
            </w:r>
            <w:proofErr w:type="spellEnd"/>
            <w:r w:rsidRPr="00514C9F">
              <w:rPr>
                <w:sz w:val="20"/>
                <w:lang w:val="cs-CZ"/>
              </w:rPr>
              <w:t>, C</w:t>
            </w:r>
            <w:r w:rsidRPr="00514C9F">
              <w:rPr>
                <w:sz w:val="20"/>
                <w:vertAlign w:val="subscript"/>
                <w:lang w:val="cs-CZ"/>
              </w:rPr>
              <w:t>19</w:t>
            </w:r>
            <w:r w:rsidRPr="00514C9F">
              <w:rPr>
                <w:sz w:val="20"/>
                <w:lang w:val="cs-CZ"/>
              </w:rPr>
              <w:t>H</w:t>
            </w:r>
            <w:r w:rsidRPr="00514C9F">
              <w:rPr>
                <w:sz w:val="20"/>
                <w:vertAlign w:val="subscript"/>
                <w:lang w:val="cs-CZ"/>
              </w:rPr>
              <w:t>18</w:t>
            </w:r>
            <w:r w:rsidRPr="00514C9F">
              <w:rPr>
                <w:sz w:val="20"/>
                <w:lang w:val="cs-CZ"/>
              </w:rPr>
              <w:t>N</w:t>
            </w:r>
            <w:r w:rsidRPr="00514C9F">
              <w:rPr>
                <w:sz w:val="20"/>
                <w:vertAlign w:val="subscript"/>
                <w:lang w:val="cs-CZ"/>
              </w:rPr>
              <w:t>6</w:t>
            </w:r>
            <w:r w:rsidRPr="00514C9F">
              <w:rPr>
                <w:sz w:val="20"/>
                <w:lang w:val="cs-CZ"/>
              </w:rPr>
              <w:t>O</w:t>
            </w:r>
            <w:r w:rsidRPr="00514C9F">
              <w:rPr>
                <w:sz w:val="20"/>
                <w:vertAlign w:val="subscript"/>
                <w:lang w:val="cs-CZ"/>
              </w:rPr>
              <w:t>6</w:t>
            </w:r>
          </w:p>
          <w:p w14:paraId="7D626606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lang w:val="cs-CZ"/>
              </w:rPr>
            </w:pPr>
            <w:r w:rsidRPr="00514C9F">
              <w:rPr>
                <w:noProof/>
                <w:sz w:val="20"/>
                <w:lang w:val="cs-CZ"/>
              </w:rPr>
              <w:t>číslo CAS: 330-95-0</w:t>
            </w:r>
          </w:p>
          <w:p w14:paraId="42F0EE76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(ekvimolární komplex 1,3-bis-(4-</w:t>
            </w:r>
            <w:proofErr w:type="gramStart"/>
            <w:r w:rsidRPr="00514C9F">
              <w:rPr>
                <w:sz w:val="20"/>
                <w:lang w:val="cs-CZ"/>
              </w:rPr>
              <w:t>nitrofenyl)-</w:t>
            </w:r>
            <w:proofErr w:type="gramEnd"/>
            <w:r w:rsidRPr="00514C9F">
              <w:rPr>
                <w:sz w:val="20"/>
                <w:lang w:val="cs-CZ"/>
              </w:rPr>
              <w:t>močoviny a 4,6-dimetylpyrimidin-2-olu, granulovaný)</w:t>
            </w:r>
          </w:p>
          <w:p w14:paraId="2FF90F7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přidružené nečistoty: p-</w:t>
            </w:r>
            <w:proofErr w:type="spellStart"/>
            <w:r w:rsidRPr="00514C9F">
              <w:rPr>
                <w:sz w:val="20"/>
                <w:lang w:val="cs-CZ"/>
              </w:rPr>
              <w:t>nitroanilin</w:t>
            </w:r>
            <w:proofErr w:type="spellEnd"/>
            <w:r w:rsidRPr="00514C9F">
              <w:rPr>
                <w:sz w:val="20"/>
                <w:lang w:val="cs-CZ"/>
              </w:rPr>
              <w:t xml:space="preserve"> ≤ 0,3 % </w:t>
            </w:r>
          </w:p>
          <w:p w14:paraId="00D41A76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 xml:space="preserve">analytické metody: </w:t>
            </w:r>
          </w:p>
          <w:p w14:paraId="6407D17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Stanovení </w:t>
            </w:r>
            <w:proofErr w:type="spellStart"/>
            <w:r w:rsidRPr="00514C9F">
              <w:rPr>
                <w:sz w:val="20"/>
                <w:lang w:val="cs-CZ"/>
              </w:rPr>
              <w:t>narasinu</w:t>
            </w:r>
            <w:proofErr w:type="spellEnd"/>
            <w:r w:rsidRPr="00514C9F">
              <w:rPr>
                <w:sz w:val="20"/>
                <w:lang w:val="cs-CZ"/>
              </w:rPr>
              <w:t xml:space="preserve">: metodou vysokoúčinné kapalinové chromatografie (HPLC) na reverzní fázi s použitím </w:t>
            </w:r>
            <w:proofErr w:type="spellStart"/>
            <w:r w:rsidRPr="00514C9F">
              <w:rPr>
                <w:sz w:val="20"/>
                <w:lang w:val="cs-CZ"/>
              </w:rPr>
              <w:t>pokolonové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lastRenderedPageBreak/>
              <w:t>derivatizace</w:t>
            </w:r>
            <w:proofErr w:type="spellEnd"/>
            <w:r w:rsidRPr="00514C9F">
              <w:rPr>
                <w:sz w:val="20"/>
                <w:lang w:val="cs-CZ"/>
              </w:rPr>
              <w:t xml:space="preserve"> a detekcí při 520 </w:t>
            </w:r>
            <w:proofErr w:type="spellStart"/>
            <w:r w:rsidRPr="00514C9F">
              <w:rPr>
                <w:sz w:val="20"/>
                <w:lang w:val="cs-CZ"/>
              </w:rPr>
              <w:t>nm</w:t>
            </w:r>
            <w:proofErr w:type="spellEnd"/>
            <w:r w:rsidRPr="00514C9F">
              <w:rPr>
                <w:sz w:val="20"/>
                <w:lang w:val="cs-CZ"/>
              </w:rPr>
              <w:t xml:space="preserve"> – ISO 14183:2005. Stanovení </w:t>
            </w:r>
            <w:proofErr w:type="spellStart"/>
            <w:r w:rsidRPr="00514C9F">
              <w:rPr>
                <w:sz w:val="20"/>
                <w:lang w:val="cs-CZ"/>
              </w:rPr>
              <w:t>nikarbazinu</w:t>
            </w:r>
            <w:proofErr w:type="spellEnd"/>
            <w:r w:rsidRPr="00514C9F">
              <w:rPr>
                <w:sz w:val="20"/>
                <w:lang w:val="cs-CZ"/>
              </w:rPr>
              <w:t>: metodou vysokoúčinné kapalinové chromatografie a detekcí pomocí UV spektrometrie (HPLC-UV) (</w:t>
            </w:r>
            <w:proofErr w:type="gramStart"/>
            <w:r w:rsidRPr="00514C9F">
              <w:rPr>
                <w:sz w:val="20"/>
                <w:lang w:val="cs-CZ"/>
              </w:rPr>
              <w:t>LC- MS</w:t>
            </w:r>
            <w:proofErr w:type="gramEnd"/>
            <w:r w:rsidRPr="00514C9F">
              <w:rPr>
                <w:sz w:val="20"/>
                <w:lang w:val="cs-CZ"/>
              </w:rPr>
              <w:t>/MS).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FCCA8F" w14:textId="77777777" w:rsidR="00E82657" w:rsidRPr="00514C9F" w:rsidRDefault="00E82657" w:rsidP="0049425D">
            <w:pPr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lang w:val="cs-CZ"/>
              </w:rPr>
              <w:lastRenderedPageBreak/>
              <w:t xml:space="preserve">výkrm kuřat </w:t>
            </w:r>
            <w:r w:rsidRPr="00514C9F">
              <w:rPr>
                <w:sz w:val="20"/>
                <w:vertAlign w:val="superscript"/>
                <w:lang w:val="cs-CZ"/>
              </w:rPr>
              <w:t>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F39195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2505D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40 mg </w:t>
            </w:r>
            <w:proofErr w:type="spellStart"/>
            <w:r w:rsidRPr="00514C9F">
              <w:rPr>
                <w:sz w:val="20"/>
                <w:lang w:val="cs-CZ"/>
              </w:rPr>
              <w:t>narasin</w:t>
            </w:r>
            <w:proofErr w:type="spellEnd"/>
          </w:p>
          <w:p w14:paraId="545D63D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1DCD0AE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40 mg </w:t>
            </w:r>
            <w:proofErr w:type="spellStart"/>
            <w:r w:rsidRPr="00514C9F">
              <w:rPr>
                <w:sz w:val="20"/>
                <w:lang w:val="cs-CZ"/>
              </w:rPr>
              <w:t>nikarbazin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28E05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50 mg </w:t>
            </w:r>
            <w:proofErr w:type="spellStart"/>
            <w:r w:rsidRPr="00514C9F">
              <w:rPr>
                <w:sz w:val="20"/>
                <w:lang w:val="cs-CZ"/>
              </w:rPr>
              <w:t>narasin</w:t>
            </w:r>
            <w:proofErr w:type="spellEnd"/>
          </w:p>
          <w:p w14:paraId="6132626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64F7227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50 mg </w:t>
            </w:r>
            <w:proofErr w:type="spellStart"/>
            <w:r w:rsidRPr="00514C9F">
              <w:rPr>
                <w:sz w:val="20"/>
                <w:lang w:val="cs-CZ"/>
              </w:rPr>
              <w:t>nikarbazin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F185B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V návodu k použití musí být uvedeno: „Nebezpečné pro koňovité, krůty a králíky“.</w:t>
            </w:r>
          </w:p>
          <w:p w14:paraId="07A3CBE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31D2DBC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„Toto krmivo obsahuje ionofor: podávání této látky současně s některými léčebnými látkami může být kontraindikováno.“ </w:t>
            </w:r>
          </w:p>
          <w:p w14:paraId="0145256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54B7986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Doplňková látka se do krmné směsi musí zapracovat ve formě </w:t>
            </w:r>
            <w:proofErr w:type="spellStart"/>
            <w:r w:rsidRPr="00514C9F">
              <w:rPr>
                <w:sz w:val="20"/>
                <w:lang w:val="cs-CZ"/>
              </w:rPr>
              <w:t>premixu</w:t>
            </w:r>
            <w:proofErr w:type="spellEnd"/>
            <w:r w:rsidRPr="00514C9F">
              <w:rPr>
                <w:sz w:val="20"/>
                <w:lang w:val="cs-CZ"/>
              </w:rPr>
              <w:t xml:space="preserve">. </w:t>
            </w:r>
          </w:p>
          <w:p w14:paraId="225FBBE2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Přípravek z </w:t>
            </w:r>
            <w:proofErr w:type="spellStart"/>
            <w:r w:rsidRPr="00514C9F">
              <w:rPr>
                <w:sz w:val="20"/>
                <w:lang w:val="cs-CZ"/>
              </w:rPr>
              <w:t>narasinu</w:t>
            </w:r>
            <w:proofErr w:type="spellEnd"/>
            <w:r w:rsidRPr="00514C9F">
              <w:rPr>
                <w:sz w:val="20"/>
                <w:lang w:val="cs-CZ"/>
              </w:rPr>
              <w:t xml:space="preserve"> a </w:t>
            </w:r>
            <w:proofErr w:type="spellStart"/>
            <w:r w:rsidRPr="00514C9F">
              <w:rPr>
                <w:sz w:val="20"/>
                <w:lang w:val="cs-CZ"/>
              </w:rPr>
              <w:t>nikarbazinu</w:t>
            </w:r>
            <w:proofErr w:type="spellEnd"/>
            <w:r w:rsidRPr="00514C9F">
              <w:rPr>
                <w:sz w:val="20"/>
                <w:lang w:val="cs-CZ"/>
              </w:rPr>
              <w:t xml:space="preserve"> se nesmí míchat s jinými </w:t>
            </w:r>
            <w:proofErr w:type="spellStart"/>
            <w:r w:rsidRPr="00514C9F">
              <w:rPr>
                <w:sz w:val="20"/>
                <w:lang w:val="cs-CZ"/>
              </w:rPr>
              <w:t>kokcidiostatiky</w:t>
            </w:r>
            <w:proofErr w:type="spellEnd"/>
            <w:r w:rsidRPr="00514C9F">
              <w:rPr>
                <w:sz w:val="20"/>
                <w:lang w:val="cs-CZ"/>
              </w:rPr>
              <w:t>.</w:t>
            </w:r>
          </w:p>
          <w:p w14:paraId="4DB79F1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Držitel povolení naplánuje a provede program monitorování po uvedení na trh ohledně odolnosti vůči bakteriím a </w:t>
            </w:r>
            <w:proofErr w:type="spellStart"/>
            <w:r w:rsidRPr="00514C9F">
              <w:rPr>
                <w:sz w:val="20"/>
                <w:lang w:val="cs-CZ"/>
              </w:rPr>
              <w:t>Eimeria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t>spp</w:t>
            </w:r>
            <w:proofErr w:type="spellEnd"/>
            <w:r w:rsidRPr="00514C9F">
              <w:rPr>
                <w:sz w:val="20"/>
                <w:lang w:val="cs-CZ"/>
              </w:rPr>
              <w:t xml:space="preserve">. </w:t>
            </w:r>
          </w:p>
          <w:p w14:paraId="185E6AC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Od 28. října 2013 je obsah p-</w:t>
            </w:r>
            <w:proofErr w:type="spellStart"/>
            <w:r w:rsidRPr="00514C9F">
              <w:rPr>
                <w:sz w:val="20"/>
                <w:lang w:val="cs-CZ"/>
              </w:rPr>
              <w:t>nitroanilinu</w:t>
            </w:r>
            <w:proofErr w:type="spellEnd"/>
            <w:r w:rsidRPr="00514C9F">
              <w:rPr>
                <w:sz w:val="20"/>
                <w:lang w:val="cs-CZ"/>
              </w:rPr>
              <w:t xml:space="preserve"> ≤ 0,1 %</w:t>
            </w:r>
          </w:p>
          <w:p w14:paraId="79341E9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Bezpečnost: během manipulace se musí používat prostředky k ochraně dýchacích cest.</w:t>
            </w:r>
          </w:p>
          <w:p w14:paraId="5F85E10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2E163AC9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25D9ECD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345EBF7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E3A174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lastRenderedPageBreak/>
              <w:t>28.10.2020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097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50 µg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narasinu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/kg pro játra, svalovinu, ledviny a kůži/tuk v syrovém stavu</w:t>
            </w:r>
          </w:p>
          <w:p w14:paraId="49445557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15 000 µg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dinitrocarbanilidu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(DNC)/kg jater v syrovém stavu</w:t>
            </w:r>
          </w:p>
          <w:p w14:paraId="5D8AC531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6 000 µ</w:t>
            </w:r>
            <w:proofErr w:type="gramStart"/>
            <w:r w:rsidRPr="00514C9F">
              <w:rPr>
                <w:sz w:val="20"/>
                <w:szCs w:val="20"/>
                <w:lang w:val="cs-CZ"/>
              </w:rPr>
              <w:t xml:space="preserve">g 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dinitrocarbanilidu</w:t>
            </w:r>
            <w:proofErr w:type="spellEnd"/>
            <w:proofErr w:type="gramEnd"/>
            <w:r w:rsidRPr="00514C9F">
              <w:rPr>
                <w:sz w:val="20"/>
                <w:szCs w:val="20"/>
                <w:lang w:val="cs-CZ"/>
              </w:rPr>
              <w:t xml:space="preserve"> (DNC)/kg ledvin v syrovém stavu</w:t>
            </w:r>
          </w:p>
          <w:p w14:paraId="2FBBD9CB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4 000 µg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dinitrocarbanilidu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(DNC)/kg pro svalovinu a kůži/tuk v syrovém stavu.</w:t>
            </w:r>
          </w:p>
          <w:p w14:paraId="549F174A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  <w:p w14:paraId="764D43DA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2A9227AF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440938CB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  <w:r w:rsidRPr="00514C9F">
        <w:rPr>
          <w:color w:val="000000"/>
          <w:szCs w:val="20"/>
          <w:lang w:val="cs-CZ"/>
        </w:rPr>
        <w:br w:type="page"/>
      </w: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1134"/>
        <w:gridCol w:w="1251"/>
      </w:tblGrid>
      <w:tr w:rsidR="00E82657" w:rsidRPr="00514C9F" w14:paraId="192D431C" w14:textId="77777777" w:rsidTr="0049425D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D4A3E1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r w:rsidRPr="00514C9F">
              <w:rPr>
                <w:lang w:val="cs-CZ"/>
              </w:rPr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9FCA4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520C47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651DD08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D6FB2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96DF50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5D58D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6A27224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A59D6C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916ED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56840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13CA6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6ED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E82657" w:rsidRPr="00514C9F" w14:paraId="79C7549C" w14:textId="77777777" w:rsidTr="0049425D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4545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D3D51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A36EC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DEDAA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77489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129398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90B40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B565A8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DC2CB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DFD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6F93C236" w14:textId="77777777" w:rsidTr="0049425D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5CEB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D75D6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27110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EC641B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D3FE9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DDAE36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52229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0685C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45F0B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31624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0226C640" w14:textId="77777777" w:rsidTr="0049425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8E86F5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5 1 773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DC29D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Phibro</w:t>
            </w:r>
            <w:proofErr w:type="spellEnd"/>
            <w:r w:rsidRPr="00514C9F">
              <w:rPr>
                <w:sz w:val="20"/>
                <w:lang w:val="cs-CZ"/>
              </w:rPr>
              <w:t xml:space="preserve"> Animal </w:t>
            </w:r>
            <w:proofErr w:type="spellStart"/>
            <w:r w:rsidRPr="00514C9F">
              <w:rPr>
                <w:sz w:val="20"/>
                <w:lang w:val="cs-CZ"/>
              </w:rPr>
              <w:t>Health</w:t>
            </w:r>
            <w:proofErr w:type="spellEnd"/>
            <w:r w:rsidRPr="00514C9F">
              <w:rPr>
                <w:sz w:val="20"/>
                <w:lang w:val="cs-CZ"/>
              </w:rPr>
              <w:t xml:space="preserve">, </w:t>
            </w:r>
            <w:proofErr w:type="spellStart"/>
            <w:r w:rsidRPr="00514C9F">
              <w:rPr>
                <w:sz w:val="20"/>
                <w:lang w:val="cs-CZ"/>
              </w:rPr>
              <w:t>s.a</w:t>
            </w:r>
            <w:proofErr w:type="spellEnd"/>
            <w:r w:rsidRPr="00514C9F">
              <w:rPr>
                <w:sz w:val="20"/>
                <w:lang w:val="cs-CZ"/>
              </w:rPr>
              <w:t>., Belgie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3EDA5B" w14:textId="77777777" w:rsidR="00E82657" w:rsidRPr="00514C9F" w:rsidRDefault="00E82657" w:rsidP="0049425D">
            <w:pPr>
              <w:pStyle w:val="Zkladntext"/>
              <w:spacing w:before="0"/>
              <w:rPr>
                <w:caps/>
                <w:sz w:val="20"/>
                <w:lang w:val="cs-CZ"/>
              </w:rPr>
            </w:pPr>
            <w:r w:rsidRPr="00514C9F">
              <w:rPr>
                <w:caps/>
                <w:sz w:val="20"/>
                <w:lang w:val="cs-CZ"/>
              </w:rPr>
              <w:t>semduramicinát sodný</w:t>
            </w:r>
          </w:p>
          <w:p w14:paraId="1B4B8B16" w14:textId="77777777" w:rsidR="00E82657" w:rsidRPr="00514C9F" w:rsidRDefault="00E82657" w:rsidP="0049425D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lang w:val="cs-CZ"/>
              </w:rPr>
              <w:t>Aviax</w:t>
            </w:r>
            <w:proofErr w:type="spellEnd"/>
            <w:r w:rsidRPr="00514C9F">
              <w:rPr>
                <w:sz w:val="20"/>
                <w:lang w:val="cs-CZ"/>
              </w:rPr>
              <w:t xml:space="preserve"> 5 %)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23888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složení doplňkové látky:</w:t>
            </w:r>
          </w:p>
          <w:p w14:paraId="3A3A31D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semduramicinát</w:t>
            </w:r>
            <w:proofErr w:type="spellEnd"/>
            <w:r w:rsidRPr="00514C9F">
              <w:rPr>
                <w:sz w:val="20"/>
                <w:lang w:val="cs-CZ"/>
              </w:rPr>
              <w:t xml:space="preserve"> sodný:</w:t>
            </w:r>
          </w:p>
          <w:p w14:paraId="6598136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51,3 g/kg</w:t>
            </w:r>
          </w:p>
          <w:p w14:paraId="162E0727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uhličitan sodný: 40 g/kg</w:t>
            </w:r>
          </w:p>
          <w:p w14:paraId="7ED532B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minerální olej: 30-50 g/kg</w:t>
            </w:r>
          </w:p>
          <w:p w14:paraId="5408791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hlinitokřemičitan sodný:</w:t>
            </w:r>
          </w:p>
          <w:p w14:paraId="641B427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20 g/kg</w:t>
            </w:r>
          </w:p>
          <w:p w14:paraId="04D2F0B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sójový separát: 838,7-858,7 g/kg</w:t>
            </w:r>
          </w:p>
          <w:p w14:paraId="2B6A13A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1F8169E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účinná látka: </w:t>
            </w:r>
            <w:proofErr w:type="spellStart"/>
            <w:r w:rsidRPr="00514C9F">
              <w:rPr>
                <w:sz w:val="20"/>
                <w:lang w:val="cs-CZ"/>
              </w:rPr>
              <w:t>semduramicinát</w:t>
            </w:r>
            <w:proofErr w:type="spellEnd"/>
            <w:r w:rsidRPr="00514C9F">
              <w:rPr>
                <w:sz w:val="20"/>
                <w:lang w:val="cs-CZ"/>
              </w:rPr>
              <w:t xml:space="preserve"> sodný</w:t>
            </w:r>
          </w:p>
          <w:p w14:paraId="42C79FA6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C</w:t>
            </w:r>
            <w:r w:rsidRPr="00514C9F">
              <w:rPr>
                <w:sz w:val="20"/>
                <w:vertAlign w:val="subscript"/>
                <w:lang w:val="cs-CZ"/>
              </w:rPr>
              <w:t>45</w:t>
            </w:r>
            <w:r w:rsidRPr="00514C9F">
              <w:rPr>
                <w:sz w:val="20"/>
                <w:lang w:val="cs-CZ"/>
              </w:rPr>
              <w:t>H</w:t>
            </w:r>
            <w:r w:rsidRPr="00514C9F">
              <w:rPr>
                <w:sz w:val="20"/>
                <w:vertAlign w:val="subscript"/>
                <w:lang w:val="cs-CZ"/>
              </w:rPr>
              <w:t>76</w:t>
            </w:r>
            <w:r w:rsidRPr="00514C9F">
              <w:rPr>
                <w:sz w:val="20"/>
                <w:lang w:val="cs-CZ"/>
              </w:rPr>
              <w:t>O</w:t>
            </w:r>
            <w:r w:rsidRPr="00514C9F">
              <w:rPr>
                <w:sz w:val="20"/>
                <w:vertAlign w:val="subscript"/>
                <w:lang w:val="cs-CZ"/>
              </w:rPr>
              <w:t>16</w:t>
            </w:r>
            <w:r w:rsidRPr="00514C9F">
              <w:rPr>
                <w:sz w:val="20"/>
                <w:lang w:val="cs-CZ"/>
              </w:rPr>
              <w:t>Na</w:t>
            </w:r>
          </w:p>
          <w:p w14:paraId="7F448502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číslo CAS: 119068-77-8</w:t>
            </w:r>
          </w:p>
          <w:p w14:paraId="02AF988A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sodná sůl </w:t>
            </w:r>
            <w:proofErr w:type="spellStart"/>
            <w:r w:rsidRPr="00514C9F">
              <w:rPr>
                <w:sz w:val="20"/>
                <w:lang w:val="cs-CZ"/>
              </w:rPr>
              <w:t>ionophorní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t>polyetherické</w:t>
            </w:r>
            <w:proofErr w:type="spellEnd"/>
            <w:r w:rsidRPr="00514C9F">
              <w:rPr>
                <w:sz w:val="20"/>
                <w:lang w:val="cs-CZ"/>
              </w:rPr>
              <w:t xml:space="preserve"> monokarboxylové kyseliny, produkované </w:t>
            </w:r>
            <w:proofErr w:type="spellStart"/>
            <w:r w:rsidRPr="00514C9F">
              <w:rPr>
                <w:i/>
                <w:iCs/>
                <w:sz w:val="20"/>
                <w:lang w:val="cs-CZ"/>
              </w:rPr>
              <w:t>Actinomadura</w:t>
            </w:r>
            <w:proofErr w:type="spellEnd"/>
            <w:r w:rsidRPr="00514C9F">
              <w:rPr>
                <w:i/>
                <w:iCs/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i/>
                <w:iCs/>
                <w:sz w:val="20"/>
                <w:lang w:val="cs-CZ"/>
              </w:rPr>
              <w:t>roseorufa</w:t>
            </w:r>
            <w:proofErr w:type="spellEnd"/>
            <w:r w:rsidRPr="00514C9F">
              <w:rPr>
                <w:sz w:val="20"/>
                <w:lang w:val="cs-CZ"/>
              </w:rPr>
              <w:t xml:space="preserve"> (ATCC 53 664) přidružené cizí látky: </w:t>
            </w:r>
            <w:proofErr w:type="spellStart"/>
            <w:r w:rsidRPr="00514C9F">
              <w:rPr>
                <w:sz w:val="20"/>
                <w:lang w:val="cs-CZ"/>
              </w:rPr>
              <w:t>dekarboxylsemduramicin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gramStart"/>
            <w:r w:rsidRPr="00514C9F">
              <w:rPr>
                <w:sz w:val="20"/>
                <w:u w:val="single"/>
                <w:lang w:val="cs-CZ"/>
              </w:rPr>
              <w:t>&lt;</w:t>
            </w:r>
            <w:r w:rsidRPr="00514C9F">
              <w:rPr>
                <w:sz w:val="20"/>
                <w:lang w:val="cs-CZ"/>
              </w:rPr>
              <w:t> 2</w:t>
            </w:r>
            <w:proofErr w:type="gramEnd"/>
            <w:r w:rsidRPr="00514C9F">
              <w:rPr>
                <w:sz w:val="20"/>
                <w:lang w:val="cs-CZ"/>
              </w:rPr>
              <w:t> %</w:t>
            </w:r>
          </w:p>
          <w:p w14:paraId="257B8E8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demetoxylsemduramicin</w:t>
            </w:r>
            <w:proofErr w:type="spellEnd"/>
          </w:p>
          <w:p w14:paraId="10175A7D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gramStart"/>
            <w:r w:rsidRPr="00514C9F">
              <w:rPr>
                <w:sz w:val="20"/>
                <w:u w:val="single"/>
                <w:lang w:val="cs-CZ"/>
              </w:rPr>
              <w:t>&lt;</w:t>
            </w:r>
            <w:r w:rsidRPr="00514C9F">
              <w:rPr>
                <w:sz w:val="20"/>
                <w:lang w:val="cs-CZ"/>
              </w:rPr>
              <w:t> 2</w:t>
            </w:r>
            <w:proofErr w:type="gramEnd"/>
            <w:r w:rsidRPr="00514C9F">
              <w:rPr>
                <w:sz w:val="20"/>
                <w:lang w:val="cs-CZ"/>
              </w:rPr>
              <w:t> %</w:t>
            </w:r>
          </w:p>
          <w:p w14:paraId="6AF7338A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hydroxysemduramicin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gramStart"/>
            <w:r w:rsidRPr="00514C9F">
              <w:rPr>
                <w:sz w:val="20"/>
                <w:u w:val="single"/>
                <w:lang w:val="cs-CZ"/>
              </w:rPr>
              <w:t>&lt;</w:t>
            </w:r>
            <w:r w:rsidRPr="00514C9F">
              <w:rPr>
                <w:sz w:val="20"/>
                <w:lang w:val="cs-CZ"/>
              </w:rPr>
              <w:t> 2</w:t>
            </w:r>
            <w:proofErr w:type="gramEnd"/>
            <w:r w:rsidRPr="00514C9F">
              <w:rPr>
                <w:sz w:val="20"/>
                <w:lang w:val="cs-CZ"/>
              </w:rPr>
              <w:t xml:space="preserve"> % celkem </w:t>
            </w:r>
            <w:r w:rsidRPr="00514C9F">
              <w:rPr>
                <w:sz w:val="20"/>
                <w:u w:val="single"/>
                <w:lang w:val="cs-CZ"/>
              </w:rPr>
              <w:t>&lt;</w:t>
            </w:r>
            <w:r w:rsidRPr="00514C9F">
              <w:rPr>
                <w:sz w:val="20"/>
                <w:lang w:val="cs-CZ"/>
              </w:rPr>
              <w:t> 5 %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8135F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Výkrm kuřat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FEF4F3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081A64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E961F2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5F3EE1" w14:textId="77777777" w:rsidR="00E82657" w:rsidRPr="00514C9F" w:rsidRDefault="00E82657" w:rsidP="0049425D">
            <w:pPr>
              <w:pStyle w:val="Textpoznpodarou"/>
              <w:rPr>
                <w:lang w:val="cs-CZ"/>
              </w:rPr>
            </w:pPr>
            <w:r w:rsidRPr="00514C9F">
              <w:rPr>
                <w:lang w:val="cs-CZ"/>
              </w:rPr>
              <w:t>ochranná lhůta: nejméně 5 dní</w:t>
            </w:r>
          </w:p>
          <w:p w14:paraId="7CFC1FE4" w14:textId="77777777" w:rsidR="00E82657" w:rsidRPr="00514C9F" w:rsidRDefault="00E82657" w:rsidP="0049425D">
            <w:pPr>
              <w:pStyle w:val="Textpoznpodarou"/>
              <w:rPr>
                <w:lang w:val="cs-CZ"/>
              </w:rPr>
            </w:pPr>
          </w:p>
          <w:p w14:paraId="6F606C14" w14:textId="77777777" w:rsidR="00E82657" w:rsidRPr="00514C9F" w:rsidRDefault="00E82657" w:rsidP="0049425D">
            <w:pPr>
              <w:pStyle w:val="Textpoznpodarou"/>
              <w:rPr>
                <w:lang w:val="cs-CZ"/>
              </w:rPr>
            </w:pPr>
            <w:r w:rsidRPr="00514C9F">
              <w:rPr>
                <w:szCs w:val="17"/>
                <w:lang w:val="cs-CZ"/>
              </w:rPr>
              <w:t xml:space="preserve">Současné podávání </w:t>
            </w:r>
            <w:proofErr w:type="spellStart"/>
            <w:r w:rsidRPr="00514C9F">
              <w:rPr>
                <w:szCs w:val="17"/>
                <w:lang w:val="cs-CZ"/>
              </w:rPr>
              <w:t>semduramicinu</w:t>
            </w:r>
            <w:proofErr w:type="spellEnd"/>
            <w:r w:rsidRPr="00514C9F">
              <w:rPr>
                <w:szCs w:val="17"/>
                <w:lang w:val="cs-CZ"/>
              </w:rPr>
              <w:t xml:space="preserve"> a </w:t>
            </w:r>
            <w:proofErr w:type="spellStart"/>
            <w:r w:rsidRPr="00514C9F">
              <w:rPr>
                <w:szCs w:val="17"/>
                <w:lang w:val="cs-CZ"/>
              </w:rPr>
              <w:t>thiamulinu</w:t>
            </w:r>
            <w:proofErr w:type="spellEnd"/>
            <w:r w:rsidRPr="00514C9F">
              <w:rPr>
                <w:szCs w:val="17"/>
                <w:lang w:val="cs-CZ"/>
              </w:rPr>
              <w:t xml:space="preserve"> může vyvolat dočasné snížení spotřeby krmiva a příjmu vody.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F3E04" w14:textId="77777777" w:rsidR="00E82657" w:rsidRPr="00514C9F" w:rsidRDefault="00E82657" w:rsidP="0049425D">
            <w:pPr>
              <w:rPr>
                <w:sz w:val="20"/>
                <w:szCs w:val="18"/>
                <w:lang w:val="cs-CZ"/>
              </w:rPr>
            </w:pPr>
            <w:r w:rsidRPr="00514C9F">
              <w:rPr>
                <w:sz w:val="20"/>
                <w:szCs w:val="18"/>
                <w:lang w:val="cs-CZ"/>
              </w:rPr>
              <w:t>20.10.2016</w:t>
            </w:r>
            <w:r w:rsidRPr="00514C9F">
              <w:rPr>
                <w:sz w:val="20"/>
                <w:szCs w:val="18"/>
                <w:vertAlign w:val="superscript"/>
                <w:lang w:val="cs-CZ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7F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</w:tc>
      </w:tr>
    </w:tbl>
    <w:p w14:paraId="249035BB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4B6A0E6B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  <w:r w:rsidRPr="00514C9F">
        <w:rPr>
          <w:color w:val="000000"/>
          <w:szCs w:val="20"/>
          <w:lang w:val="cs-CZ"/>
        </w:rPr>
        <w:br w:type="page"/>
      </w: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1134"/>
        <w:gridCol w:w="1251"/>
      </w:tblGrid>
      <w:tr w:rsidR="00E82657" w:rsidRPr="00514C9F" w14:paraId="34FB3C96" w14:textId="77777777" w:rsidTr="0049425D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B7F44A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r w:rsidRPr="00514C9F">
              <w:rPr>
                <w:lang w:val="cs-CZ"/>
              </w:rPr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23976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A74CA3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0D7ECB3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45F28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A75720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A3E8E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792AE3D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74C8C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448B57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678C3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7A49C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E568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E82657" w:rsidRPr="00514C9F" w14:paraId="36950085" w14:textId="77777777" w:rsidTr="0049425D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500668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129B4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6DC927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EADF1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7DD16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D7E21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088B1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7CD580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B81BB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3BB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0D470D7B" w14:textId="77777777" w:rsidTr="0049425D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41C20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BCCE4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421D7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F70FD0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A7C21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ACEEB2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20842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7B64A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D0236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EAA84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1684CE86" w14:textId="77777777" w:rsidTr="0049425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DCDF0D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5 1 774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65FED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Phibro</w:t>
            </w:r>
            <w:proofErr w:type="spellEnd"/>
            <w:r w:rsidRPr="00514C9F">
              <w:rPr>
                <w:sz w:val="20"/>
                <w:lang w:val="cs-CZ"/>
              </w:rPr>
              <w:t xml:space="preserve"> Animal </w:t>
            </w:r>
            <w:proofErr w:type="spellStart"/>
            <w:r w:rsidRPr="00514C9F">
              <w:rPr>
                <w:sz w:val="20"/>
                <w:lang w:val="cs-CZ"/>
              </w:rPr>
              <w:t>Health</w:t>
            </w:r>
            <w:proofErr w:type="spellEnd"/>
            <w:r w:rsidRPr="00514C9F">
              <w:rPr>
                <w:sz w:val="20"/>
                <w:lang w:val="cs-CZ"/>
              </w:rPr>
              <w:t xml:space="preserve">, </w:t>
            </w:r>
            <w:proofErr w:type="spellStart"/>
            <w:r w:rsidRPr="00514C9F">
              <w:rPr>
                <w:sz w:val="20"/>
                <w:lang w:val="cs-CZ"/>
              </w:rPr>
              <w:t>s.a</w:t>
            </w:r>
            <w:proofErr w:type="spellEnd"/>
            <w:r w:rsidRPr="00514C9F">
              <w:rPr>
                <w:sz w:val="20"/>
                <w:lang w:val="cs-CZ"/>
              </w:rPr>
              <w:t>., Belgie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EE678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NIKARBAZIN</w:t>
            </w:r>
          </w:p>
          <w:p w14:paraId="7D0695A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250 g/kg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A94D25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Složení doplňkové látky:</w:t>
            </w:r>
          </w:p>
          <w:p w14:paraId="7A012D9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Nikarbazin</w:t>
            </w:r>
            <w:proofErr w:type="spellEnd"/>
            <w:r w:rsidRPr="00514C9F">
              <w:rPr>
                <w:sz w:val="20"/>
                <w:lang w:val="cs-CZ"/>
              </w:rPr>
              <w:t>: 250 g/kg</w:t>
            </w:r>
          </w:p>
          <w:p w14:paraId="1A3E55E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Kyselina stearová: 126 ± 5 % g/kg</w:t>
            </w:r>
          </w:p>
          <w:p w14:paraId="6471EA03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Polysorbát</w:t>
            </w:r>
            <w:proofErr w:type="spellEnd"/>
            <w:r w:rsidRPr="00514C9F">
              <w:rPr>
                <w:sz w:val="20"/>
                <w:lang w:val="cs-CZ"/>
              </w:rPr>
              <w:t xml:space="preserve"> 20: 13,90 ± 10 % g/kg</w:t>
            </w:r>
          </w:p>
          <w:p w14:paraId="012B5B4C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Pšeničná krupice do 100 %</w:t>
            </w:r>
          </w:p>
          <w:p w14:paraId="775A1CCA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570F7BB3" w14:textId="77777777" w:rsidR="00E82657" w:rsidRPr="00514C9F" w:rsidRDefault="00E82657" w:rsidP="0049425D">
            <w:pPr>
              <w:rPr>
                <w:b/>
                <w:sz w:val="20"/>
                <w:lang w:val="cs-CZ"/>
              </w:rPr>
            </w:pPr>
            <w:r w:rsidRPr="00514C9F">
              <w:rPr>
                <w:b/>
                <w:sz w:val="20"/>
                <w:lang w:val="cs-CZ"/>
              </w:rPr>
              <w:t>Účinná látka:</w:t>
            </w:r>
          </w:p>
          <w:p w14:paraId="0809733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Nikarbazin</w:t>
            </w:r>
            <w:proofErr w:type="spellEnd"/>
            <w:r w:rsidRPr="00514C9F">
              <w:rPr>
                <w:sz w:val="20"/>
                <w:lang w:val="cs-CZ"/>
              </w:rPr>
              <w:t>, C</w:t>
            </w:r>
            <w:r w:rsidRPr="00514C9F">
              <w:rPr>
                <w:sz w:val="20"/>
                <w:vertAlign w:val="subscript"/>
                <w:lang w:val="cs-CZ"/>
              </w:rPr>
              <w:t>19</w:t>
            </w:r>
            <w:r w:rsidRPr="00514C9F">
              <w:rPr>
                <w:sz w:val="20"/>
                <w:lang w:val="cs-CZ"/>
              </w:rPr>
              <w:t>H</w:t>
            </w:r>
            <w:r w:rsidRPr="00514C9F">
              <w:rPr>
                <w:sz w:val="20"/>
                <w:vertAlign w:val="subscript"/>
                <w:lang w:val="cs-CZ"/>
              </w:rPr>
              <w:t>18</w:t>
            </w:r>
            <w:r w:rsidRPr="00514C9F">
              <w:rPr>
                <w:sz w:val="20"/>
                <w:lang w:val="cs-CZ"/>
              </w:rPr>
              <w:t>N</w:t>
            </w:r>
            <w:r w:rsidRPr="00514C9F">
              <w:rPr>
                <w:sz w:val="20"/>
                <w:vertAlign w:val="subscript"/>
                <w:lang w:val="cs-CZ"/>
              </w:rPr>
              <w:t>6</w:t>
            </w:r>
            <w:r w:rsidRPr="00514C9F">
              <w:rPr>
                <w:sz w:val="20"/>
                <w:lang w:val="cs-CZ"/>
              </w:rPr>
              <w:t>O</w:t>
            </w:r>
            <w:r w:rsidRPr="00514C9F">
              <w:rPr>
                <w:sz w:val="20"/>
                <w:vertAlign w:val="subscript"/>
                <w:lang w:val="cs-CZ"/>
              </w:rPr>
              <w:t>6</w:t>
            </w:r>
            <w:r w:rsidRPr="00514C9F">
              <w:rPr>
                <w:sz w:val="20"/>
                <w:lang w:val="cs-CZ"/>
              </w:rPr>
              <w:t>.</w:t>
            </w:r>
          </w:p>
          <w:p w14:paraId="6D96FCF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Číslo CAS: 330-95-0</w:t>
            </w:r>
          </w:p>
          <w:p w14:paraId="5473A21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Ekvimolekulární komplex 1,3-bis(4-nitrofenyl) močoviny a 4,6-dimethyl-</w:t>
            </w:r>
            <w:proofErr w:type="gramStart"/>
            <w:r w:rsidRPr="00514C9F">
              <w:rPr>
                <w:sz w:val="20"/>
                <w:lang w:val="cs-CZ"/>
              </w:rPr>
              <w:t>2-pyrimidinolu</w:t>
            </w:r>
            <w:proofErr w:type="gramEnd"/>
            <w:r w:rsidRPr="00514C9F">
              <w:rPr>
                <w:sz w:val="20"/>
                <w:lang w:val="cs-CZ"/>
              </w:rPr>
              <w:t>, granulovaný.</w:t>
            </w:r>
          </w:p>
          <w:p w14:paraId="731D364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Přidružené nečistoty: </w:t>
            </w:r>
          </w:p>
          <w:p w14:paraId="42B7FBF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p-nitro-anilin: </w:t>
            </w:r>
            <w:proofErr w:type="gramStart"/>
            <w:r w:rsidRPr="00514C9F">
              <w:rPr>
                <w:sz w:val="20"/>
                <w:u w:val="single"/>
                <w:lang w:val="cs-CZ"/>
              </w:rPr>
              <w:t>&lt;</w:t>
            </w:r>
            <w:r w:rsidRPr="00514C9F">
              <w:rPr>
                <w:sz w:val="20"/>
                <w:lang w:val="cs-CZ"/>
              </w:rPr>
              <w:t xml:space="preserve"> 0</w:t>
            </w:r>
            <w:proofErr w:type="gramEnd"/>
            <w:r w:rsidRPr="00514C9F">
              <w:rPr>
                <w:sz w:val="20"/>
                <w:lang w:val="cs-CZ"/>
              </w:rPr>
              <w:t>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48FE3B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Výkrm kuřat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4DE152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C9CFFE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3D2EDF" w14:textId="77777777" w:rsidR="00E82657" w:rsidRPr="00514C9F" w:rsidRDefault="00E82657" w:rsidP="0049425D">
            <w:pPr>
              <w:jc w:val="center"/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BF48F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Ochranná lhůta nejméně jeden den před porážkou.</w:t>
            </w:r>
          </w:p>
          <w:p w14:paraId="5A21D9BB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5FAAB538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proofErr w:type="spellStart"/>
            <w:r w:rsidRPr="00514C9F">
              <w:rPr>
                <w:sz w:val="20"/>
                <w:lang w:val="cs-CZ"/>
              </w:rPr>
              <w:t>Nikarbazin</w:t>
            </w:r>
            <w:proofErr w:type="spellEnd"/>
            <w:r w:rsidRPr="00514C9F">
              <w:rPr>
                <w:sz w:val="20"/>
                <w:lang w:val="cs-CZ"/>
              </w:rPr>
              <w:t xml:space="preserve"> se nesmí míchat s jinými </w:t>
            </w:r>
            <w:proofErr w:type="spellStart"/>
            <w:r w:rsidRPr="00514C9F">
              <w:rPr>
                <w:sz w:val="20"/>
                <w:lang w:val="cs-CZ"/>
              </w:rPr>
              <w:t>kokcidiostatiky</w:t>
            </w:r>
            <w:proofErr w:type="spellEnd"/>
            <w:r w:rsidRPr="00514C9F">
              <w:rPr>
                <w:sz w:val="20"/>
                <w:lang w:val="cs-CZ"/>
              </w:rPr>
              <w:t xml:space="preserve"> kromě </w:t>
            </w:r>
            <w:proofErr w:type="spellStart"/>
            <w:r w:rsidRPr="00514C9F">
              <w:rPr>
                <w:sz w:val="20"/>
                <w:lang w:val="cs-CZ"/>
              </w:rPr>
              <w:t>narasinu</w:t>
            </w:r>
            <w:proofErr w:type="spellEnd"/>
            <w:r w:rsidRPr="00514C9F">
              <w:rPr>
                <w:sz w:val="20"/>
                <w:lang w:val="cs-CZ"/>
              </w:rPr>
              <w:t>.</w:t>
            </w:r>
          </w:p>
          <w:p w14:paraId="32F720D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4DB325A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Doplňková látka se do krmné směsi musí zapracovat ve formě </w:t>
            </w:r>
            <w:proofErr w:type="spellStart"/>
            <w:r w:rsidRPr="00514C9F">
              <w:rPr>
                <w:sz w:val="20"/>
                <w:lang w:val="cs-CZ"/>
              </w:rPr>
              <w:t>premixu</w:t>
            </w:r>
            <w:proofErr w:type="spellEnd"/>
            <w:r w:rsidRPr="00514C9F">
              <w:rPr>
                <w:sz w:val="20"/>
                <w:lang w:val="cs-CZ"/>
              </w:rPr>
              <w:t>.</w:t>
            </w:r>
          </w:p>
          <w:p w14:paraId="6CB954A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>Od 26. října 2013 je obsah p-</w:t>
            </w:r>
            <w:proofErr w:type="spellStart"/>
            <w:r w:rsidRPr="00514C9F">
              <w:rPr>
                <w:sz w:val="20"/>
                <w:lang w:val="cs-CZ"/>
              </w:rPr>
              <w:t>nitroanilinu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gramStart"/>
            <w:r w:rsidRPr="00514C9F">
              <w:rPr>
                <w:sz w:val="20"/>
                <w:u w:val="single"/>
                <w:lang w:val="cs-CZ"/>
              </w:rPr>
              <w:t>&lt;</w:t>
            </w:r>
            <w:r w:rsidRPr="00514C9F">
              <w:rPr>
                <w:sz w:val="20"/>
                <w:lang w:val="cs-CZ"/>
              </w:rPr>
              <w:t xml:space="preserve"> 0</w:t>
            </w:r>
            <w:proofErr w:type="gramEnd"/>
            <w:r w:rsidRPr="00514C9F">
              <w:rPr>
                <w:sz w:val="20"/>
                <w:lang w:val="cs-CZ"/>
              </w:rPr>
              <w:t>,1 %.</w:t>
            </w:r>
          </w:p>
          <w:p w14:paraId="1CF29A90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Držitel povolení naplánuje a provede program monitorování po uvedení na trh týkající se odolnosti vůči bakteriím a/nebo </w:t>
            </w:r>
            <w:proofErr w:type="spellStart"/>
            <w:r w:rsidRPr="00514C9F">
              <w:rPr>
                <w:i/>
                <w:sz w:val="20"/>
                <w:lang w:val="cs-CZ"/>
              </w:rPr>
              <w:t>Eimeria</w:t>
            </w:r>
            <w:proofErr w:type="spellEnd"/>
            <w:r w:rsidRPr="00514C9F">
              <w:rPr>
                <w:sz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lang w:val="cs-CZ"/>
              </w:rPr>
              <w:t>spp</w:t>
            </w:r>
            <w:proofErr w:type="spellEnd"/>
            <w:r w:rsidRPr="00514C9F">
              <w:rPr>
                <w:sz w:val="20"/>
                <w:lang w:val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2049D3" w14:textId="77777777" w:rsidR="00E82657" w:rsidRPr="00514C9F" w:rsidRDefault="00E82657" w:rsidP="0049425D">
            <w:pPr>
              <w:rPr>
                <w:sz w:val="20"/>
                <w:vertAlign w:val="superscript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26.10.2020 </w:t>
            </w:r>
            <w:r w:rsidRPr="00514C9F">
              <w:rPr>
                <w:sz w:val="20"/>
                <w:vertAlign w:val="superscript"/>
                <w:lang w:val="cs-CZ"/>
              </w:rPr>
              <w:t>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F06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15 000 µg </w:t>
            </w:r>
            <w:proofErr w:type="spellStart"/>
            <w:r w:rsidRPr="00514C9F">
              <w:rPr>
                <w:sz w:val="20"/>
                <w:lang w:val="cs-CZ"/>
              </w:rPr>
              <w:t>dinitrocarbanilidu</w:t>
            </w:r>
            <w:proofErr w:type="spellEnd"/>
            <w:r w:rsidRPr="00514C9F">
              <w:rPr>
                <w:sz w:val="20"/>
                <w:lang w:val="cs-CZ"/>
              </w:rPr>
              <w:t xml:space="preserve"> (DNC)/kg jater v syrovém stavu;</w:t>
            </w:r>
          </w:p>
          <w:p w14:paraId="2A5E9314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093D37F1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6 000 µg </w:t>
            </w:r>
            <w:proofErr w:type="spellStart"/>
            <w:r w:rsidRPr="00514C9F">
              <w:rPr>
                <w:sz w:val="20"/>
                <w:lang w:val="cs-CZ"/>
              </w:rPr>
              <w:t>dinitrocarbanilidu</w:t>
            </w:r>
            <w:proofErr w:type="spellEnd"/>
            <w:r w:rsidRPr="00514C9F">
              <w:rPr>
                <w:sz w:val="20"/>
                <w:lang w:val="cs-CZ"/>
              </w:rPr>
              <w:t xml:space="preserve"> (DNC)/kg ledvin v syrovém stavu;</w:t>
            </w:r>
          </w:p>
          <w:p w14:paraId="0C97CB95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  <w:p w14:paraId="3669BAFE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  <w:r w:rsidRPr="00514C9F">
              <w:rPr>
                <w:sz w:val="20"/>
                <w:lang w:val="cs-CZ"/>
              </w:rPr>
              <w:t xml:space="preserve">4 000 µg </w:t>
            </w:r>
            <w:proofErr w:type="spellStart"/>
            <w:r w:rsidRPr="00514C9F">
              <w:rPr>
                <w:sz w:val="20"/>
                <w:lang w:val="cs-CZ"/>
              </w:rPr>
              <w:t>dinitrocarbanilidu</w:t>
            </w:r>
            <w:proofErr w:type="spellEnd"/>
            <w:r w:rsidRPr="00514C9F">
              <w:rPr>
                <w:sz w:val="20"/>
                <w:lang w:val="cs-CZ"/>
              </w:rPr>
              <w:t xml:space="preserve"> (DNC)/kg pro svalovinu v syrovém stavu a kůži/tuk v syrovém stavu.</w:t>
            </w:r>
          </w:p>
          <w:p w14:paraId="11376E07" w14:textId="77777777" w:rsidR="00E82657" w:rsidRPr="00514C9F" w:rsidRDefault="00E82657" w:rsidP="0049425D">
            <w:pPr>
              <w:rPr>
                <w:sz w:val="20"/>
                <w:lang w:val="cs-CZ"/>
              </w:rPr>
            </w:pPr>
          </w:p>
        </w:tc>
      </w:tr>
    </w:tbl>
    <w:p w14:paraId="7FF3A532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</w:p>
    <w:p w14:paraId="41156A0C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  <w:r w:rsidRPr="00514C9F">
        <w:rPr>
          <w:color w:val="000000"/>
          <w:szCs w:val="20"/>
          <w:lang w:val="cs-CZ"/>
        </w:rPr>
        <w:br w:type="page"/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992"/>
        <w:gridCol w:w="1393"/>
      </w:tblGrid>
      <w:tr w:rsidR="00E82657" w:rsidRPr="00514C9F" w14:paraId="1DF9A277" w14:textId="77777777" w:rsidTr="000B72B8">
        <w:trPr>
          <w:cantSplit/>
          <w:trHeight w:val="636"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D922400" w14:textId="77777777" w:rsidR="00E82657" w:rsidRPr="00514C9F" w:rsidRDefault="00E82657" w:rsidP="0049425D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r w:rsidRPr="00514C9F">
              <w:rPr>
                <w:lang w:val="cs-CZ"/>
              </w:rPr>
              <w:t>Identifikační číslo doplňkové látky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A7C0572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2E99A3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76CD10F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4115C7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9149DF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6FBEB2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497A5299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4BFA05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676B42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2EAC6F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3E0AB01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393" w:type="dxa"/>
            <w:vMerge w:val="restart"/>
            <w:vAlign w:val="center"/>
          </w:tcPr>
          <w:p w14:paraId="1D0D3010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(MLR) v příslušných potravinách živočišného původu</w:t>
            </w:r>
          </w:p>
        </w:tc>
      </w:tr>
      <w:tr w:rsidR="00E82657" w:rsidRPr="00514C9F" w14:paraId="2CD7A0D5" w14:textId="77777777" w:rsidTr="000B72B8">
        <w:trPr>
          <w:cantSplit/>
          <w:trHeight w:val="20"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0CDA821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5BDF53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375FE2D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70A4D61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EB6371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2F6BC485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45EFC74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 s obsahem vlhkosti 12 %</w:t>
            </w: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5B07DBA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783B7D7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93" w:type="dxa"/>
            <w:vMerge/>
          </w:tcPr>
          <w:p w14:paraId="7330A931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</w:tr>
      <w:tr w:rsidR="00E82657" w:rsidRPr="00514C9F" w14:paraId="1611393E" w14:textId="77777777" w:rsidTr="000B72B8">
        <w:trPr>
          <w:trHeight w:val="65"/>
          <w:tblHeader/>
        </w:trPr>
        <w:tc>
          <w:tcPr>
            <w:tcW w:w="1204" w:type="dxa"/>
            <w:tcMar>
              <w:top w:w="0" w:type="dxa"/>
              <w:bottom w:w="0" w:type="dxa"/>
            </w:tcMar>
          </w:tcPr>
          <w:p w14:paraId="6741D1B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31808A3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C10524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93100F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7FF3D7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55E6562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14:paraId="0084C28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14:paraId="0028A2FF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201C93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393" w:type="dxa"/>
          </w:tcPr>
          <w:p w14:paraId="0990E0E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E82657" w:rsidRPr="00514C9F" w14:paraId="005082B6" w14:textId="77777777" w:rsidTr="000B72B8">
        <w:trPr>
          <w:trHeight w:val="2528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DCDB6E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51775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47EE51F2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Huvepharma</w:t>
            </w:r>
            <w:proofErr w:type="spellEnd"/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CCA9A31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0,5 g/100 g</w:t>
            </w:r>
          </w:p>
          <w:p w14:paraId="238A0525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Coxiril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0F430E4" w14:textId="77777777" w:rsidR="00E82657" w:rsidRPr="00514C9F" w:rsidRDefault="00E82657" w:rsidP="0049425D">
            <w:pPr>
              <w:rPr>
                <w:b/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3044324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: </w:t>
            </w:r>
            <w:proofErr w:type="gramStart"/>
            <w:r w:rsidRPr="00514C9F">
              <w:rPr>
                <w:sz w:val="20"/>
                <w:szCs w:val="20"/>
                <w:lang w:val="cs-CZ"/>
              </w:rPr>
              <w:t>5g</w:t>
            </w:r>
            <w:proofErr w:type="gramEnd"/>
            <w:r w:rsidRPr="00514C9F">
              <w:rPr>
                <w:sz w:val="20"/>
                <w:szCs w:val="20"/>
                <w:lang w:val="cs-CZ"/>
              </w:rPr>
              <w:t>/kg</w:t>
            </w:r>
          </w:p>
          <w:p w14:paraId="45908B47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Škrob: 15 g/kg</w:t>
            </w:r>
          </w:p>
          <w:p w14:paraId="553C07E8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Pšeničná krupice: 700 g/kg</w:t>
            </w:r>
          </w:p>
          <w:p w14:paraId="7B084105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Uhličitan vápenatý: 280 g/kg</w:t>
            </w:r>
          </w:p>
          <w:p w14:paraId="06B352AF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  <w:p w14:paraId="2877AC69" w14:textId="77777777" w:rsidR="00E82657" w:rsidRPr="00514C9F" w:rsidRDefault="00E82657" w:rsidP="0049425D">
            <w:pPr>
              <w:rPr>
                <w:b/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21E11C3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, C</w:t>
            </w:r>
            <w:r w:rsidRPr="00514C9F">
              <w:rPr>
                <w:sz w:val="20"/>
                <w:szCs w:val="20"/>
                <w:vertAlign w:val="subscript"/>
                <w:lang w:val="cs-CZ"/>
              </w:rPr>
              <w:t>17</w:t>
            </w:r>
            <w:r w:rsidRPr="00514C9F">
              <w:rPr>
                <w:sz w:val="20"/>
                <w:szCs w:val="20"/>
                <w:lang w:val="cs-CZ"/>
              </w:rPr>
              <w:t>H</w:t>
            </w:r>
            <w:r w:rsidRPr="00514C9F">
              <w:rPr>
                <w:sz w:val="20"/>
                <w:szCs w:val="20"/>
                <w:vertAlign w:val="subscript"/>
                <w:lang w:val="cs-CZ"/>
              </w:rPr>
              <w:t>9</w:t>
            </w:r>
            <w:r w:rsidRPr="00514C9F">
              <w:rPr>
                <w:sz w:val="20"/>
                <w:szCs w:val="20"/>
                <w:lang w:val="cs-CZ"/>
              </w:rPr>
              <w:t>Cl</w:t>
            </w:r>
            <w:r w:rsidRPr="00514C9F"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514C9F">
              <w:rPr>
                <w:sz w:val="20"/>
                <w:szCs w:val="20"/>
                <w:lang w:val="cs-CZ"/>
              </w:rPr>
              <w:t>N</w:t>
            </w:r>
            <w:r w:rsidRPr="00514C9F">
              <w:rPr>
                <w:sz w:val="20"/>
                <w:szCs w:val="20"/>
                <w:vertAlign w:val="subscript"/>
                <w:lang w:val="cs-CZ"/>
              </w:rPr>
              <w:t>4</w:t>
            </w:r>
            <w:r w:rsidRPr="00514C9F">
              <w:rPr>
                <w:sz w:val="20"/>
                <w:szCs w:val="20"/>
                <w:lang w:val="cs-CZ"/>
              </w:rPr>
              <w:t>O</w:t>
            </w:r>
            <w:r w:rsidRPr="00514C9F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514C9F">
              <w:rPr>
                <w:sz w:val="20"/>
                <w:szCs w:val="20"/>
                <w:lang w:val="cs-CZ"/>
              </w:rPr>
              <w:t>, (</w:t>
            </w:r>
            <w:proofErr w:type="gramStart"/>
            <w:r w:rsidRPr="00514C9F">
              <w:rPr>
                <w:sz w:val="20"/>
                <w:szCs w:val="20"/>
                <w:lang w:val="cs-CZ"/>
              </w:rPr>
              <w:t>±)-</w:t>
            </w:r>
            <w:proofErr w:type="gramEnd"/>
            <w:r w:rsidRPr="00514C9F">
              <w:rPr>
                <w:sz w:val="20"/>
                <w:szCs w:val="20"/>
                <w:lang w:val="cs-CZ"/>
              </w:rPr>
              <w:t>4-chlorofenyl[2,6-dichloro-4-(2,3,4,5-tetrahydro-3,5-dioxo-1,2,4-triazin-2-yl)fenyl]acetonitrile</w:t>
            </w:r>
          </w:p>
          <w:p w14:paraId="269C229C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Číslo CAS: 101831-37-2</w:t>
            </w:r>
          </w:p>
          <w:p w14:paraId="4EE87A10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Nečistota </w:t>
            </w:r>
            <w:proofErr w:type="gramStart"/>
            <w:r w:rsidRPr="00514C9F">
              <w:rPr>
                <w:sz w:val="20"/>
                <w:szCs w:val="20"/>
                <w:lang w:val="cs-CZ"/>
              </w:rPr>
              <w:t>D(</w:t>
            </w:r>
            <w:proofErr w:type="gramEnd"/>
            <w:r w:rsidRPr="00514C9F">
              <w:rPr>
                <w:sz w:val="20"/>
                <w:szCs w:val="20"/>
                <w:lang w:val="cs-CZ"/>
              </w:rPr>
              <w:t>€): ≤ 0,1 %</w:t>
            </w:r>
          </w:p>
          <w:p w14:paraId="479F84EA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Jakákoli jiná nečistota: ≤0,5 %</w:t>
            </w:r>
          </w:p>
          <w:p w14:paraId="4DBADB53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Nečistoty celkem: ≤1,5 %</w:t>
            </w:r>
          </w:p>
          <w:p w14:paraId="147CE296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  <w:p w14:paraId="160D4965" w14:textId="77777777" w:rsidR="00E82657" w:rsidRPr="00514C9F" w:rsidRDefault="00E82657" w:rsidP="0049425D">
            <w:pPr>
              <w:rPr>
                <w:b/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Analytická metoda*:</w:t>
            </w:r>
          </w:p>
          <w:p w14:paraId="16C56450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Stanovení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diklazurilu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v krmivech: vysokoúčinná kapalinová chromatografie (HPLC) na reverzní fázi s UV detekcí při vlnové délce 280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nm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(nařízení ES) č. 152/2009 (£)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DA60284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Výkrm kuřat</w:t>
            </w:r>
          </w:p>
          <w:p w14:paraId="54BB574C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Výkrm krůt</w:t>
            </w:r>
          </w:p>
          <w:p w14:paraId="3210D42E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Výkrm a odchov perliček </w:t>
            </w:r>
            <w:r w:rsidRPr="00514C9F">
              <w:rPr>
                <w:sz w:val="20"/>
                <w:szCs w:val="20"/>
                <w:vertAlign w:val="superscript"/>
                <w:lang w:val="cs-CZ"/>
              </w:rPr>
              <w:t>53)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4AA8ACD2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514C9F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FAD266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0,8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866724B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1,2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5D3B558D" w14:textId="77777777" w:rsidR="00E82657" w:rsidRPr="00514C9F" w:rsidRDefault="00E82657" w:rsidP="0049425D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Doplňková látka se do krmné směsi musí zapracovat ve formě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premixu</w:t>
            </w:r>
            <w:proofErr w:type="spellEnd"/>
          </w:p>
          <w:p w14:paraId="484DE5CD" w14:textId="77777777" w:rsidR="00E82657" w:rsidRPr="00514C9F" w:rsidRDefault="00E82657" w:rsidP="0049425D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se nesmí mísit s jinými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kokcidiostatiky</w:t>
            </w:r>
            <w:proofErr w:type="spellEnd"/>
          </w:p>
          <w:p w14:paraId="6F75D2AB" w14:textId="77777777" w:rsidR="00E82657" w:rsidRPr="00514C9F" w:rsidRDefault="00E82657" w:rsidP="0049425D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Bezpečnost: během manipulace se musí používat prostředky k ochraně dýchacích cest, bezpečnostní brýle a rukavice</w:t>
            </w:r>
          </w:p>
          <w:p w14:paraId="161FEB3A" w14:textId="77777777" w:rsidR="00E82657" w:rsidRPr="00514C9F" w:rsidRDefault="00E82657" w:rsidP="0049425D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Ochranná lhůta u králíků nejméně 2 dny před porážkou</w:t>
            </w:r>
          </w:p>
          <w:p w14:paraId="618FC258" w14:textId="77777777" w:rsidR="00E82657" w:rsidRPr="00514C9F" w:rsidRDefault="00E82657" w:rsidP="0049425D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Držitel povolení provede program monitorování po uvedení na trh ohledně odolnosti vůči bakteriím a </w:t>
            </w:r>
            <w:proofErr w:type="spellStart"/>
            <w:r w:rsidRPr="00514C9F">
              <w:rPr>
                <w:i/>
                <w:sz w:val="20"/>
                <w:szCs w:val="20"/>
                <w:lang w:val="cs-CZ"/>
              </w:rPr>
              <w:t>Eimeria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spp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>. během druhé platnosti povolení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31FA599" w14:textId="77777777" w:rsidR="00E82657" w:rsidRPr="00514C9F" w:rsidRDefault="00E82657" w:rsidP="0049425D">
            <w:pPr>
              <w:pStyle w:val="HeaderLandscape"/>
              <w:spacing w:before="0" w:after="0"/>
              <w:rPr>
                <w:sz w:val="20"/>
              </w:rPr>
            </w:pPr>
            <w:r w:rsidRPr="00514C9F">
              <w:rPr>
                <w:sz w:val="20"/>
              </w:rPr>
              <w:t>4.2.2025</w:t>
            </w:r>
          </w:p>
        </w:tc>
        <w:tc>
          <w:tcPr>
            <w:tcW w:w="1393" w:type="dxa"/>
          </w:tcPr>
          <w:p w14:paraId="5020D38B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>Nařízení (EU) č. 37/2010 (¥)</w:t>
            </w:r>
          </w:p>
          <w:p w14:paraId="16606A18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</w:p>
          <w:p w14:paraId="0BD2D218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 xml:space="preserve">-1500 µg </w:t>
            </w:r>
            <w:proofErr w:type="spellStart"/>
            <w:r w:rsidRPr="00514C9F">
              <w:rPr>
                <w:sz w:val="20"/>
              </w:rPr>
              <w:t>diklazurilu</w:t>
            </w:r>
            <w:proofErr w:type="spellEnd"/>
            <w:r w:rsidRPr="00514C9F">
              <w:rPr>
                <w:sz w:val="20"/>
              </w:rPr>
              <w:t>/kg jater v syrovém stavu</w:t>
            </w:r>
          </w:p>
          <w:p w14:paraId="31D29F1D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 xml:space="preserve">-1000 µg </w:t>
            </w:r>
            <w:proofErr w:type="spellStart"/>
            <w:r w:rsidRPr="00514C9F">
              <w:rPr>
                <w:sz w:val="20"/>
              </w:rPr>
              <w:t>diklazurilu</w:t>
            </w:r>
            <w:proofErr w:type="spellEnd"/>
            <w:r w:rsidRPr="00514C9F">
              <w:rPr>
                <w:sz w:val="20"/>
              </w:rPr>
              <w:t>/kg ledvin v syrovém stavu</w:t>
            </w:r>
          </w:p>
          <w:p w14:paraId="782EDE71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 xml:space="preserve">-500 µg </w:t>
            </w:r>
            <w:proofErr w:type="spellStart"/>
            <w:r w:rsidRPr="00514C9F">
              <w:rPr>
                <w:sz w:val="20"/>
              </w:rPr>
              <w:t>diklazurilu</w:t>
            </w:r>
            <w:proofErr w:type="spellEnd"/>
            <w:r w:rsidRPr="00514C9F">
              <w:rPr>
                <w:sz w:val="20"/>
              </w:rPr>
              <w:t>/kg svalů v syrovém stavu</w:t>
            </w:r>
          </w:p>
          <w:p w14:paraId="39189D1F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 xml:space="preserve">-500 µg </w:t>
            </w:r>
            <w:proofErr w:type="spellStart"/>
            <w:r w:rsidRPr="00514C9F">
              <w:rPr>
                <w:sz w:val="20"/>
              </w:rPr>
              <w:t>diklazurilu</w:t>
            </w:r>
            <w:proofErr w:type="spellEnd"/>
            <w:r w:rsidRPr="00514C9F">
              <w:rPr>
                <w:sz w:val="20"/>
              </w:rPr>
              <w:t>/kg kůže/tuku v syrovém stavu</w:t>
            </w:r>
          </w:p>
        </w:tc>
      </w:tr>
      <w:tr w:rsidR="00E82657" w:rsidRPr="00514C9F" w14:paraId="21D14278" w14:textId="77777777" w:rsidTr="000B72B8">
        <w:trPr>
          <w:trHeight w:val="2527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2BB3286E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322D32A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A0BB3E5" w14:textId="77777777" w:rsidR="00E82657" w:rsidRPr="00514C9F" w:rsidRDefault="00E82657" w:rsidP="0049425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6E013686" w14:textId="77777777" w:rsidR="00E82657" w:rsidRPr="00514C9F" w:rsidRDefault="00E82657" w:rsidP="0049425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F95A6D2" w14:textId="77777777" w:rsidR="00E82657" w:rsidRPr="00514C9F" w:rsidRDefault="00E82657" w:rsidP="0049425D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Králíci </w:t>
            </w:r>
            <w:r w:rsidRPr="00514C9F">
              <w:rPr>
                <w:sz w:val="20"/>
                <w:szCs w:val="20"/>
                <w:vertAlign w:val="superscript"/>
                <w:lang w:val="cs-CZ"/>
              </w:rPr>
              <w:t>54)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6B2D8EBE" w14:textId="77777777" w:rsidR="00E82657" w:rsidRPr="00514C9F" w:rsidRDefault="00E82657" w:rsidP="0049425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DCA01AA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AEAD4C" w14:textId="77777777" w:rsidR="00E82657" w:rsidRPr="00514C9F" w:rsidRDefault="00E82657" w:rsidP="0049425D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1D3B34F2" w14:textId="77777777" w:rsidR="00E82657" w:rsidRPr="00514C9F" w:rsidRDefault="00E82657" w:rsidP="0049425D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36AF6D1" w14:textId="77777777" w:rsidR="00E82657" w:rsidRPr="00514C9F" w:rsidRDefault="00E82657" w:rsidP="0049425D">
            <w:pPr>
              <w:pStyle w:val="HeaderLandscape"/>
              <w:spacing w:before="0" w:after="0"/>
              <w:rPr>
                <w:sz w:val="20"/>
              </w:rPr>
            </w:pPr>
            <w:r w:rsidRPr="00514C9F">
              <w:rPr>
                <w:sz w:val="20"/>
              </w:rPr>
              <w:t>10.9.2025</w:t>
            </w:r>
          </w:p>
        </w:tc>
        <w:tc>
          <w:tcPr>
            <w:tcW w:w="1393" w:type="dxa"/>
          </w:tcPr>
          <w:p w14:paraId="398B6DAB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>Nařízení (EU) č. 37/2010 (¥)</w:t>
            </w:r>
          </w:p>
          <w:p w14:paraId="34FB0660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</w:p>
          <w:p w14:paraId="1D304EC5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 xml:space="preserve">-2500 µg </w:t>
            </w:r>
            <w:proofErr w:type="spellStart"/>
            <w:r w:rsidRPr="00514C9F">
              <w:rPr>
                <w:sz w:val="20"/>
              </w:rPr>
              <w:t>diklazurilu</w:t>
            </w:r>
            <w:proofErr w:type="spellEnd"/>
            <w:r w:rsidRPr="00514C9F">
              <w:rPr>
                <w:sz w:val="20"/>
              </w:rPr>
              <w:t>/kg jater v syrovém stavu</w:t>
            </w:r>
          </w:p>
          <w:p w14:paraId="614A9064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 xml:space="preserve">-1000 µg </w:t>
            </w:r>
            <w:proofErr w:type="spellStart"/>
            <w:r w:rsidRPr="00514C9F">
              <w:rPr>
                <w:sz w:val="20"/>
              </w:rPr>
              <w:t>diklazurilu</w:t>
            </w:r>
            <w:proofErr w:type="spellEnd"/>
            <w:r w:rsidRPr="00514C9F">
              <w:rPr>
                <w:sz w:val="20"/>
              </w:rPr>
              <w:t>/kg ledvin v syrovém stavu</w:t>
            </w:r>
          </w:p>
          <w:p w14:paraId="04922858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 xml:space="preserve">-150 µg </w:t>
            </w:r>
            <w:proofErr w:type="spellStart"/>
            <w:r w:rsidRPr="00514C9F">
              <w:rPr>
                <w:sz w:val="20"/>
              </w:rPr>
              <w:t>diklazurilu</w:t>
            </w:r>
            <w:proofErr w:type="spellEnd"/>
            <w:r w:rsidRPr="00514C9F">
              <w:rPr>
                <w:sz w:val="20"/>
              </w:rPr>
              <w:t>/kg svalů v syrovém stavu</w:t>
            </w:r>
          </w:p>
          <w:p w14:paraId="76226D8A" w14:textId="77777777" w:rsidR="00E82657" w:rsidRPr="00514C9F" w:rsidRDefault="00E82657" w:rsidP="0049425D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 xml:space="preserve">-300 µg </w:t>
            </w:r>
            <w:proofErr w:type="spellStart"/>
            <w:r w:rsidRPr="00514C9F">
              <w:rPr>
                <w:sz w:val="20"/>
              </w:rPr>
              <w:t>diklazurilu</w:t>
            </w:r>
            <w:proofErr w:type="spellEnd"/>
            <w:r w:rsidRPr="00514C9F">
              <w:rPr>
                <w:sz w:val="20"/>
              </w:rPr>
              <w:t>/kg kůže/tuku v syrovém stavu</w:t>
            </w:r>
          </w:p>
        </w:tc>
      </w:tr>
    </w:tbl>
    <w:p w14:paraId="73EFA878" w14:textId="77777777" w:rsidR="00E82657" w:rsidRPr="00514C9F" w:rsidRDefault="00E82657" w:rsidP="00E82657">
      <w:pPr>
        <w:ind w:left="360"/>
        <w:rPr>
          <w:sz w:val="20"/>
          <w:szCs w:val="20"/>
          <w:lang w:val="cs-CZ"/>
        </w:rPr>
      </w:pPr>
      <w:r w:rsidRPr="00514C9F">
        <w:rPr>
          <w:sz w:val="20"/>
          <w:szCs w:val="20"/>
          <w:lang w:val="cs-CZ"/>
        </w:rPr>
        <w:t xml:space="preserve">* Podrobné informace o analytických metodách lze získat na internetové stránce referenční laboratoře: </w:t>
      </w:r>
      <w:hyperlink r:id="rId12" w:history="1">
        <w:r w:rsidRPr="00514C9F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4C1EEA3F" w14:textId="77777777" w:rsidR="00E82657" w:rsidRPr="00514C9F" w:rsidRDefault="00E82657" w:rsidP="00E82657">
      <w:pPr>
        <w:ind w:left="360"/>
        <w:rPr>
          <w:sz w:val="20"/>
          <w:szCs w:val="20"/>
          <w:lang w:val="cs-CZ"/>
        </w:rPr>
      </w:pPr>
      <w:r w:rsidRPr="00514C9F">
        <w:rPr>
          <w:sz w:val="20"/>
          <w:szCs w:val="20"/>
          <w:lang w:val="cs-CZ"/>
        </w:rPr>
        <w:t>€ - Monografie Evropského lékopisu 1718 (</w:t>
      </w:r>
      <w:proofErr w:type="spellStart"/>
      <w:r w:rsidRPr="00514C9F">
        <w:rPr>
          <w:sz w:val="20"/>
          <w:szCs w:val="20"/>
          <w:lang w:val="cs-CZ"/>
        </w:rPr>
        <w:t>Diklazuril</w:t>
      </w:r>
      <w:proofErr w:type="spellEnd"/>
      <w:r w:rsidRPr="00514C9F">
        <w:rPr>
          <w:sz w:val="20"/>
          <w:szCs w:val="20"/>
          <w:lang w:val="cs-CZ"/>
        </w:rPr>
        <w:t xml:space="preserve"> pro veterinární použití)</w:t>
      </w:r>
    </w:p>
    <w:p w14:paraId="590D4708" w14:textId="77777777" w:rsidR="00E82657" w:rsidRPr="00514C9F" w:rsidRDefault="00E82657" w:rsidP="00E82657">
      <w:pPr>
        <w:ind w:left="360"/>
        <w:rPr>
          <w:sz w:val="20"/>
          <w:szCs w:val="20"/>
          <w:lang w:val="cs-CZ"/>
        </w:rPr>
      </w:pPr>
      <w:r w:rsidRPr="00514C9F">
        <w:rPr>
          <w:sz w:val="20"/>
          <w:szCs w:val="20"/>
          <w:lang w:val="cs-CZ"/>
        </w:rPr>
        <w:t xml:space="preserve">£ - Nařízení Komise (ES) č. 152/2009 ze dne 27. </w:t>
      </w:r>
      <w:proofErr w:type="gramStart"/>
      <w:r w:rsidRPr="00514C9F">
        <w:rPr>
          <w:sz w:val="20"/>
          <w:szCs w:val="20"/>
          <w:lang w:val="cs-CZ"/>
        </w:rPr>
        <w:t>Ledna</w:t>
      </w:r>
      <w:proofErr w:type="gramEnd"/>
      <w:r w:rsidRPr="00514C9F">
        <w:rPr>
          <w:sz w:val="20"/>
          <w:szCs w:val="20"/>
          <w:lang w:val="cs-CZ"/>
        </w:rPr>
        <w:t xml:space="preserve"> 2009, kterým se stanoví metody odběru vzorků a laboratorního zkoušení pro úřední kontrolu krmiv (</w:t>
      </w:r>
      <w:proofErr w:type="spellStart"/>
      <w:r w:rsidRPr="00514C9F">
        <w:rPr>
          <w:sz w:val="20"/>
          <w:szCs w:val="20"/>
          <w:lang w:val="cs-CZ"/>
        </w:rPr>
        <w:t>Úř</w:t>
      </w:r>
      <w:proofErr w:type="spellEnd"/>
      <w:r w:rsidRPr="00514C9F">
        <w:rPr>
          <w:sz w:val="20"/>
          <w:szCs w:val="20"/>
          <w:lang w:val="cs-CZ"/>
        </w:rPr>
        <w:t>. Vest. L 54, 26.2.2009, s. 1)</w:t>
      </w:r>
    </w:p>
    <w:p w14:paraId="6D6AD712" w14:textId="77777777" w:rsidR="00E82657" w:rsidRPr="00514C9F" w:rsidRDefault="00E82657" w:rsidP="000B72B8">
      <w:pPr>
        <w:ind w:left="360"/>
        <w:rPr>
          <w:sz w:val="20"/>
          <w:lang w:val="cs-CZ"/>
        </w:rPr>
      </w:pPr>
      <w:r w:rsidRPr="00514C9F">
        <w:rPr>
          <w:sz w:val="20"/>
          <w:lang w:val="cs-CZ"/>
        </w:rPr>
        <w:t xml:space="preserve">¥ - Nařízení Komise (EU) č. 37/2010 ze dne 22. </w:t>
      </w:r>
      <w:proofErr w:type="gramStart"/>
      <w:r w:rsidRPr="00514C9F">
        <w:rPr>
          <w:sz w:val="20"/>
          <w:lang w:val="cs-CZ"/>
        </w:rPr>
        <w:t>Prosince</w:t>
      </w:r>
      <w:proofErr w:type="gramEnd"/>
      <w:r w:rsidRPr="00514C9F">
        <w:rPr>
          <w:sz w:val="20"/>
          <w:lang w:val="cs-CZ"/>
        </w:rPr>
        <w:t xml:space="preserve"> 2009 o farmakologicky účinných látkách a jejich klasifikaci podle maximálních limitů reziduí v potravinách živočišného původu (</w:t>
      </w:r>
      <w:proofErr w:type="spellStart"/>
      <w:r w:rsidRPr="00514C9F">
        <w:rPr>
          <w:sz w:val="20"/>
          <w:lang w:val="cs-CZ"/>
        </w:rPr>
        <w:t>Úř</w:t>
      </w:r>
      <w:proofErr w:type="spellEnd"/>
      <w:r w:rsidRPr="00514C9F">
        <w:rPr>
          <w:sz w:val="20"/>
          <w:lang w:val="cs-CZ"/>
        </w:rPr>
        <w:t>. Vest. L 15, 20.1.2010, s. 1)</w:t>
      </w:r>
    </w:p>
    <w:p w14:paraId="36C9AD39" w14:textId="77777777" w:rsidR="000B72B8" w:rsidRPr="00514C9F" w:rsidRDefault="000B72B8" w:rsidP="000B72B8">
      <w:pPr>
        <w:ind w:left="360"/>
        <w:rPr>
          <w:sz w:val="20"/>
          <w:lang w:val="cs-CZ"/>
        </w:rPr>
      </w:pPr>
    </w:p>
    <w:p w14:paraId="72073BE5" w14:textId="77777777" w:rsidR="000B72B8" w:rsidRPr="00514C9F" w:rsidRDefault="000B72B8">
      <w:pPr>
        <w:spacing w:after="160" w:line="259" w:lineRule="auto"/>
        <w:rPr>
          <w:sz w:val="20"/>
          <w:lang w:val="cs-CZ"/>
        </w:rPr>
      </w:pPr>
      <w:r w:rsidRPr="00514C9F">
        <w:rPr>
          <w:sz w:val="20"/>
          <w:lang w:val="cs-CZ"/>
        </w:rPr>
        <w:br w:type="page"/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09"/>
        <w:gridCol w:w="1059"/>
        <w:gridCol w:w="3118"/>
        <w:gridCol w:w="992"/>
        <w:gridCol w:w="851"/>
        <w:gridCol w:w="1276"/>
        <w:gridCol w:w="1275"/>
        <w:gridCol w:w="2127"/>
        <w:gridCol w:w="992"/>
        <w:gridCol w:w="1326"/>
      </w:tblGrid>
      <w:tr w:rsidR="007608C9" w:rsidRPr="00514C9F" w14:paraId="7AE672D3" w14:textId="77777777" w:rsidTr="00E60B5D">
        <w:trPr>
          <w:cantSplit/>
          <w:trHeight w:val="636"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B7B9D46" w14:textId="37036E79" w:rsidR="007608C9" w:rsidRPr="00514C9F" w:rsidRDefault="007608C9" w:rsidP="00D6045C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proofErr w:type="spellStart"/>
            <w:r w:rsidRPr="00514C9F">
              <w:rPr>
                <w:lang w:val="cs-CZ"/>
              </w:rPr>
              <w:t>Identifika</w:t>
            </w:r>
            <w:proofErr w:type="spellEnd"/>
            <w:r w:rsidR="00B639D1">
              <w:rPr>
                <w:lang w:val="cs-CZ"/>
              </w:rPr>
              <w:t>-</w:t>
            </w:r>
            <w:r w:rsidRPr="00514C9F">
              <w:rPr>
                <w:lang w:val="cs-CZ"/>
              </w:rPr>
              <w:t>ční číslo doplňkové látky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04D4585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05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F70D6E8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56F16915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6592C90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60F534D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4FB7349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2D8287D8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3A23886" w14:textId="1EC8AD06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</w:t>
            </w:r>
            <w:r w:rsidR="00706771">
              <w:rPr>
                <w:sz w:val="20"/>
                <w:szCs w:val="20"/>
                <w:lang w:val="cs-CZ"/>
              </w:rPr>
              <w:t>.</w:t>
            </w:r>
            <w:r w:rsidRPr="00514C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15F1200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74228A6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01E26F3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  <w:tc>
          <w:tcPr>
            <w:tcW w:w="1326" w:type="dxa"/>
            <w:vMerge w:val="restart"/>
            <w:vAlign w:val="center"/>
          </w:tcPr>
          <w:p w14:paraId="1FC8F186" w14:textId="470793A8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Max. limity reziduí v příslušných potravinách živočišného původu</w:t>
            </w:r>
          </w:p>
        </w:tc>
      </w:tr>
      <w:tr w:rsidR="007608C9" w:rsidRPr="00514C9F" w14:paraId="0C5B1C00" w14:textId="77777777" w:rsidTr="00E60B5D">
        <w:trPr>
          <w:cantSplit/>
          <w:trHeight w:val="20"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75D00C60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4977A54D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vMerge/>
            <w:tcMar>
              <w:top w:w="57" w:type="dxa"/>
              <w:bottom w:w="57" w:type="dxa"/>
            </w:tcMar>
          </w:tcPr>
          <w:p w14:paraId="0E0D6081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323BED10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0023B21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30A3434C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02597A14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 s obsahem vlhkosti 12 %</w:t>
            </w: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14:paraId="3DACFEF9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30BE68A8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26" w:type="dxa"/>
            <w:vMerge/>
          </w:tcPr>
          <w:p w14:paraId="13C1C97A" w14:textId="77777777" w:rsidR="007608C9" w:rsidRPr="00514C9F" w:rsidRDefault="007608C9" w:rsidP="00D6045C">
            <w:pPr>
              <w:rPr>
                <w:sz w:val="20"/>
                <w:szCs w:val="20"/>
                <w:lang w:val="cs-CZ"/>
              </w:rPr>
            </w:pPr>
          </w:p>
        </w:tc>
      </w:tr>
      <w:tr w:rsidR="007608C9" w:rsidRPr="00514C9F" w14:paraId="3A364DCA" w14:textId="77777777" w:rsidTr="00E60B5D">
        <w:trPr>
          <w:trHeight w:val="65"/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1E4DD4D7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209" w:type="dxa"/>
            <w:tcMar>
              <w:top w:w="0" w:type="dxa"/>
              <w:bottom w:w="0" w:type="dxa"/>
            </w:tcMar>
          </w:tcPr>
          <w:p w14:paraId="2AEAEF5C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059" w:type="dxa"/>
            <w:tcMar>
              <w:top w:w="0" w:type="dxa"/>
              <w:bottom w:w="0" w:type="dxa"/>
            </w:tcMar>
          </w:tcPr>
          <w:p w14:paraId="11ED5931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59836C30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1DA60E7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51C4543C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551" w:type="dxa"/>
            <w:gridSpan w:val="2"/>
            <w:tcMar>
              <w:top w:w="0" w:type="dxa"/>
              <w:bottom w:w="0" w:type="dxa"/>
            </w:tcMar>
          </w:tcPr>
          <w:p w14:paraId="73E06539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14:paraId="02983D56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575C903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326" w:type="dxa"/>
          </w:tcPr>
          <w:p w14:paraId="32AD377C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10</w:t>
            </w:r>
          </w:p>
        </w:tc>
      </w:tr>
      <w:tr w:rsidR="001B7638" w:rsidRPr="00514C9F" w14:paraId="2B25E461" w14:textId="77777777" w:rsidTr="00E60B5D">
        <w:trPr>
          <w:trHeight w:val="600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50530BA2" w14:textId="4C843821" w:rsidR="001B7638" w:rsidRPr="00514C9F" w:rsidRDefault="001B7638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5177</w:t>
            </w:r>
            <w:r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1CF22A1C" w14:textId="3095D8A3" w:rsidR="001B7638" w:rsidRPr="00514C9F" w:rsidRDefault="001B7638" w:rsidP="00D6045C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Huvepharma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NV.</w:t>
            </w:r>
          </w:p>
        </w:tc>
        <w:tc>
          <w:tcPr>
            <w:tcW w:w="1059" w:type="dxa"/>
            <w:vMerge w:val="restart"/>
            <w:tcMar>
              <w:top w:w="57" w:type="dxa"/>
              <w:bottom w:w="57" w:type="dxa"/>
            </w:tcMar>
          </w:tcPr>
          <w:p w14:paraId="6DF2F605" w14:textId="77777777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Monensin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80 g/kg</w:t>
            </w:r>
          </w:p>
          <w:p w14:paraId="34BA10E9" w14:textId="77777777" w:rsidR="001B7638" w:rsidRDefault="001B7638" w:rsidP="00D6045C">
            <w:pPr>
              <w:rPr>
                <w:sz w:val="20"/>
                <w:szCs w:val="20"/>
                <w:lang w:val="cs-CZ"/>
              </w:rPr>
            </w:pPr>
          </w:p>
          <w:p w14:paraId="4B9F9AA6" w14:textId="69BD20E8" w:rsidR="001B7638" w:rsidRPr="00514C9F" w:rsidRDefault="001B7638" w:rsidP="00D6045C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Nikarbazin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80 g/kg (</w:t>
            </w:r>
            <w:proofErr w:type="spellStart"/>
            <w:r>
              <w:rPr>
                <w:sz w:val="20"/>
                <w:szCs w:val="20"/>
                <w:lang w:val="cs-CZ"/>
              </w:rPr>
              <w:t>Monimax</w:t>
            </w:r>
            <w:proofErr w:type="spellEnd"/>
            <w:r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44FCAE3E" w14:textId="77777777" w:rsidR="001B7638" w:rsidRPr="00514C9F" w:rsidRDefault="001B7638" w:rsidP="00D6045C">
            <w:pPr>
              <w:rPr>
                <w:b/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4974A3C" w14:textId="072AE135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>
              <w:rPr>
                <w:sz w:val="20"/>
                <w:szCs w:val="20"/>
                <w:lang w:val="cs-CZ"/>
              </w:rPr>
              <w:t>monensinu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(jako </w:t>
            </w:r>
            <w:proofErr w:type="spellStart"/>
            <w:r>
              <w:rPr>
                <w:sz w:val="20"/>
                <w:szCs w:val="20"/>
                <w:lang w:val="cs-CZ"/>
              </w:rPr>
              <w:t>monensinát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sodný) 80 g/kg</w:t>
            </w:r>
          </w:p>
          <w:p w14:paraId="130E681A" w14:textId="1CB95532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</w:t>
            </w:r>
            <w:proofErr w:type="spellStart"/>
            <w:r>
              <w:rPr>
                <w:sz w:val="20"/>
                <w:szCs w:val="20"/>
                <w:lang w:val="cs-CZ"/>
              </w:rPr>
              <w:t>monensin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≥ </w:t>
            </w:r>
            <w:proofErr w:type="gramStart"/>
            <w:r>
              <w:rPr>
                <w:sz w:val="20"/>
                <w:szCs w:val="20"/>
                <w:lang w:val="cs-CZ"/>
              </w:rPr>
              <w:t>90%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monensin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A+B ≥ 95%, </w:t>
            </w:r>
            <w:proofErr w:type="spellStart"/>
            <w:r>
              <w:rPr>
                <w:sz w:val="20"/>
                <w:szCs w:val="20"/>
                <w:lang w:val="cs-CZ"/>
              </w:rPr>
              <w:t>monensin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C 0,2-0,3 %)</w:t>
            </w:r>
          </w:p>
          <w:p w14:paraId="0D061112" w14:textId="1FA25DED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Nikarbazin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80 g/kg (poměr 1:1)</w:t>
            </w:r>
          </w:p>
          <w:p w14:paraId="32FA01D9" w14:textId="7ED22BC3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Škrob: 15 g/kg</w:t>
            </w:r>
          </w:p>
          <w:p w14:paraId="5FE5D199" w14:textId="79F28CAF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Pšeničná krupice: 580 g/kg.</w:t>
            </w:r>
          </w:p>
          <w:p w14:paraId="690C1746" w14:textId="450C1B71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Uhličitan vápenatý: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quantum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satis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cs-CZ"/>
              </w:rPr>
              <w:t>1000g</w:t>
            </w:r>
            <w:proofErr w:type="gramEnd"/>
          </w:p>
          <w:p w14:paraId="7C85A17A" w14:textId="1BA728BE" w:rsidR="001B7638" w:rsidRPr="0027112F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Ve formě granulí</w:t>
            </w:r>
          </w:p>
          <w:p w14:paraId="1B07D0A4" w14:textId="77777777" w:rsidR="001B7638" w:rsidRPr="00514C9F" w:rsidRDefault="001B7638" w:rsidP="00D6045C">
            <w:pPr>
              <w:rPr>
                <w:sz w:val="20"/>
                <w:szCs w:val="20"/>
                <w:lang w:val="cs-CZ"/>
              </w:rPr>
            </w:pPr>
          </w:p>
          <w:p w14:paraId="15DBEC30" w14:textId="5719D7D5" w:rsidR="001B7638" w:rsidRDefault="001B7638" w:rsidP="00D6045C">
            <w:pPr>
              <w:rPr>
                <w:b/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579E59E" w14:textId="2876C7D5" w:rsidR="001B7638" w:rsidRDefault="001B7638" w:rsidP="00D6045C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b/>
                <w:sz w:val="20"/>
                <w:szCs w:val="20"/>
                <w:lang w:val="cs-CZ"/>
              </w:rPr>
              <w:t>Monensin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jako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monensinát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sodný </w:t>
            </w:r>
            <w:r>
              <w:rPr>
                <w:bCs/>
                <w:sz w:val="20"/>
                <w:szCs w:val="20"/>
                <w:lang w:val="cs-CZ"/>
              </w:rPr>
              <w:t xml:space="preserve">(aktivita ≥ </w:t>
            </w:r>
            <w:proofErr w:type="gramStart"/>
            <w:r>
              <w:rPr>
                <w:bCs/>
                <w:sz w:val="20"/>
                <w:szCs w:val="20"/>
                <w:lang w:val="cs-CZ"/>
              </w:rPr>
              <w:t>27%</w:t>
            </w:r>
            <w:proofErr w:type="gramEnd"/>
            <w:r>
              <w:rPr>
                <w:bCs/>
                <w:sz w:val="20"/>
                <w:szCs w:val="20"/>
                <w:lang w:val="cs-CZ"/>
              </w:rPr>
              <w:t>)</w:t>
            </w:r>
          </w:p>
          <w:p w14:paraId="664F4377" w14:textId="169E5FA5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 xml:space="preserve">Číslo CAS: </w:t>
            </w:r>
            <w:r>
              <w:rPr>
                <w:sz w:val="20"/>
                <w:szCs w:val="20"/>
                <w:lang w:val="cs-CZ"/>
              </w:rPr>
              <w:t xml:space="preserve">22373-78-0 produkovaný kmenem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Streptomyces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cinnamonensis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28682 (BCCM/LMG S-19095) a sestávající z:</w:t>
            </w:r>
          </w:p>
          <w:p w14:paraId="54C7E866" w14:textId="05FE0EFC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cs-CZ"/>
              </w:rPr>
              <w:t>monensin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A, sodná sůl natrium-(2-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cs-CZ"/>
              </w:rPr>
              <w:t>5-ethyltetra-hydro-5-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cs-CZ"/>
              </w:rPr>
              <w:t>tetrahydro-3-methyl-5-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cs-CZ"/>
              </w:rPr>
              <w:t>tetrahydro-6-hydroxy-6-(</w:t>
            </w:r>
            <w:proofErr w:type="spellStart"/>
            <w:proofErr w:type="gramStart"/>
            <w:r>
              <w:rPr>
                <w:sz w:val="20"/>
                <w:szCs w:val="20"/>
                <w:lang w:val="cs-CZ"/>
              </w:rPr>
              <w:t>hydroxymethyl</w:t>
            </w:r>
            <w:proofErr w:type="spellEnd"/>
            <w:r>
              <w:rPr>
                <w:sz w:val="20"/>
                <w:szCs w:val="20"/>
                <w:lang w:val="cs-CZ"/>
              </w:rPr>
              <w:t>)-</w:t>
            </w:r>
            <w:proofErr w:type="gramEnd"/>
            <w:r>
              <w:rPr>
                <w:sz w:val="20"/>
                <w:szCs w:val="20"/>
                <w:lang w:val="cs-CZ"/>
              </w:rPr>
              <w:t>3,5-dimethyl-2H-pyran-2yl</w:t>
            </w:r>
            <w:r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cs-CZ"/>
              </w:rPr>
              <w:t>-2-furyl</w:t>
            </w:r>
            <w:r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cs-CZ"/>
              </w:rPr>
              <w:t>-2-furyl</w:t>
            </w:r>
            <w:r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cs-CZ"/>
              </w:rPr>
              <w:t>-9-</w:t>
            </w:r>
            <w:r>
              <w:rPr>
                <w:sz w:val="20"/>
                <w:szCs w:val="20"/>
                <w:lang w:val="cs-CZ"/>
              </w:rPr>
              <w:lastRenderedPageBreak/>
              <w:t>hydroxy-β-</w:t>
            </w:r>
            <w:proofErr w:type="spellStart"/>
            <w:r>
              <w:rPr>
                <w:sz w:val="20"/>
                <w:szCs w:val="20"/>
                <w:lang w:val="cs-CZ"/>
              </w:rPr>
              <w:t>methoxy</w:t>
            </w:r>
            <w:proofErr w:type="spellEnd"/>
            <w:r>
              <w:rPr>
                <w:sz w:val="20"/>
                <w:szCs w:val="20"/>
                <w:lang w:val="cs-CZ"/>
              </w:rPr>
              <w:t>-α,γ,2,8-tetramethyl-1,6-dioxaspiro-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cs-CZ"/>
              </w:rPr>
              <w:t>4.5</w:t>
            </w:r>
            <w:r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cs-CZ"/>
              </w:rPr>
              <w:t>dekan-7-butanová kyselina; C</w:t>
            </w:r>
            <w:r>
              <w:rPr>
                <w:sz w:val="20"/>
                <w:szCs w:val="20"/>
                <w:vertAlign w:val="subscript"/>
                <w:lang w:val="cs-CZ"/>
              </w:rPr>
              <w:t>36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61</w:t>
            </w:r>
            <w:r>
              <w:rPr>
                <w:sz w:val="20"/>
                <w:szCs w:val="20"/>
                <w:lang w:val="cs-CZ"/>
              </w:rPr>
              <w:t>NaO</w:t>
            </w:r>
            <w:r>
              <w:rPr>
                <w:sz w:val="20"/>
                <w:szCs w:val="20"/>
                <w:vertAlign w:val="subscript"/>
                <w:lang w:val="cs-CZ"/>
              </w:rPr>
              <w:t>11</w:t>
            </w:r>
          </w:p>
          <w:p w14:paraId="0FFF37BB" w14:textId="6B28F261" w:rsidR="001B7638" w:rsidRDefault="001B7638" w:rsidP="00034F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cs-CZ"/>
              </w:rPr>
              <w:t>monensin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B, sodná sůl natrium-4-(9-hydroxy-2-(5´-(6-hydroxy-6-(</w:t>
            </w:r>
            <w:proofErr w:type="gramStart"/>
            <w:r>
              <w:rPr>
                <w:sz w:val="20"/>
                <w:szCs w:val="20"/>
                <w:lang w:val="cs-CZ"/>
              </w:rPr>
              <w:t>hydroxymethyl)-</w:t>
            </w:r>
            <w:proofErr w:type="gramEnd"/>
            <w:r>
              <w:rPr>
                <w:sz w:val="20"/>
                <w:szCs w:val="20"/>
                <w:lang w:val="cs-CZ"/>
              </w:rPr>
              <w:t>3,5-dimethyltetrahydro-2H-pyran-2-yl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cs-CZ"/>
              </w:rPr>
              <w:t>-2,3dimethyloktahydro-</w:t>
            </w:r>
            <w:r>
              <w:rPr>
                <w:sz w:val="20"/>
                <w:szCs w:val="20"/>
              </w:rPr>
              <w:t>[2,2´-bifuran]</w:t>
            </w:r>
            <w:r>
              <w:rPr>
                <w:sz w:val="20"/>
                <w:szCs w:val="20"/>
                <w:lang w:val="cs-CZ"/>
              </w:rPr>
              <w:t>-5-yl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cs-CZ"/>
              </w:rPr>
              <w:t>-2,8-dimethyl-1,6-dioxaspiro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cs-CZ"/>
              </w:rPr>
              <w:t>4.5</w:t>
            </w:r>
            <w:r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cs-CZ"/>
              </w:rPr>
              <w:t>dekan-7-yl)-3-methoxy-2-methylpentanoát; C</w:t>
            </w:r>
            <w:r>
              <w:rPr>
                <w:sz w:val="20"/>
                <w:szCs w:val="20"/>
                <w:vertAlign w:val="subscript"/>
                <w:lang w:val="cs-CZ"/>
              </w:rPr>
              <w:t>35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59</w:t>
            </w:r>
            <w:r>
              <w:rPr>
                <w:sz w:val="20"/>
                <w:szCs w:val="20"/>
                <w:lang w:val="cs-CZ"/>
              </w:rPr>
              <w:t>NaO</w:t>
            </w:r>
            <w:r>
              <w:rPr>
                <w:sz w:val="20"/>
                <w:szCs w:val="20"/>
                <w:vertAlign w:val="subscript"/>
                <w:lang w:val="cs-CZ"/>
              </w:rPr>
              <w:t>11</w:t>
            </w:r>
          </w:p>
          <w:p w14:paraId="6C7AB9A4" w14:textId="18AF5FD9" w:rsidR="001B7638" w:rsidRDefault="001B7638" w:rsidP="00EA09E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cs-CZ"/>
              </w:rPr>
              <w:t>monensin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C, sodná sůl natrium-2-ethyl-4-(2-(2-ethyl-5´-(6-hydroxy-6-(</w:t>
            </w:r>
            <w:proofErr w:type="gramStart"/>
            <w:r>
              <w:rPr>
                <w:sz w:val="20"/>
                <w:szCs w:val="20"/>
                <w:lang w:val="cs-CZ"/>
              </w:rPr>
              <w:t>hydroxymethyl)-</w:t>
            </w:r>
            <w:proofErr w:type="gramEnd"/>
            <w:r>
              <w:rPr>
                <w:sz w:val="20"/>
                <w:szCs w:val="20"/>
                <w:lang w:val="cs-CZ"/>
              </w:rPr>
              <w:t>3,5-dimethyltetrahydro-2H-pyran-2-yl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cs-CZ"/>
              </w:rPr>
              <w:t>-3´-methyloktahydro-</w:t>
            </w:r>
            <w:r>
              <w:rPr>
                <w:sz w:val="20"/>
                <w:szCs w:val="20"/>
              </w:rPr>
              <w:t>[2,2´-bifuran]</w:t>
            </w:r>
            <w:r>
              <w:rPr>
                <w:sz w:val="20"/>
                <w:szCs w:val="20"/>
                <w:lang w:val="cs-CZ"/>
              </w:rPr>
              <w:t>-5-yl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cs-CZ"/>
              </w:rPr>
              <w:t>-9-hydroxy-2,8-dimethyl-1,6-dioxaspiro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cs-CZ"/>
              </w:rPr>
              <w:t>4.5</w:t>
            </w:r>
            <w:r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cs-CZ"/>
              </w:rPr>
              <w:t>dekan-7-yl)-3-methoxypentanoát; C</w:t>
            </w:r>
            <w:r>
              <w:rPr>
                <w:sz w:val="20"/>
                <w:szCs w:val="20"/>
                <w:vertAlign w:val="subscript"/>
                <w:lang w:val="cs-CZ"/>
              </w:rPr>
              <w:t>37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63</w:t>
            </w:r>
            <w:r>
              <w:rPr>
                <w:sz w:val="20"/>
                <w:szCs w:val="20"/>
                <w:lang w:val="cs-CZ"/>
              </w:rPr>
              <w:t>NaO</w:t>
            </w:r>
            <w:r>
              <w:rPr>
                <w:sz w:val="20"/>
                <w:szCs w:val="20"/>
                <w:vertAlign w:val="subscript"/>
                <w:lang w:val="cs-CZ"/>
              </w:rPr>
              <w:t>11</w:t>
            </w:r>
          </w:p>
          <w:p w14:paraId="1AFCD4B6" w14:textId="017C7774" w:rsidR="001B7638" w:rsidRDefault="001B7638" w:rsidP="00EA09E0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cs-CZ"/>
              </w:rPr>
              <w:t>Nikarbazin</w:t>
            </w:r>
            <w:proofErr w:type="spellEnd"/>
          </w:p>
          <w:p w14:paraId="1EFF562A" w14:textId="4F77FAAC" w:rsidR="001B7638" w:rsidRPr="00A65526" w:rsidRDefault="001B7638" w:rsidP="00EA09E0">
            <w:pPr>
              <w:rPr>
                <w:sz w:val="20"/>
                <w:szCs w:val="20"/>
                <w:vertAlign w:val="sub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19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18</w:t>
            </w:r>
            <w:r>
              <w:rPr>
                <w:sz w:val="20"/>
                <w:szCs w:val="20"/>
                <w:lang w:val="cs-CZ"/>
              </w:rPr>
              <w:t>N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</w:p>
          <w:p w14:paraId="7E9183E1" w14:textId="1B14DDAB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330-95-0 ekvimolekulární komplex:</w:t>
            </w:r>
          </w:p>
          <w:p w14:paraId="0A88B015" w14:textId="373324FE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cs-CZ"/>
              </w:rPr>
              <w:t>4,4-dinitrokarbanilidu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(DNC) (67,4-73 %)</w:t>
            </w:r>
          </w:p>
          <w:p w14:paraId="401EFF63" w14:textId="7F61A311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13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>N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5</w:t>
            </w:r>
          </w:p>
          <w:p w14:paraId="5FB9C91C" w14:textId="37882830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- 2-hydroxy-</w:t>
            </w:r>
            <w:proofErr w:type="gramStart"/>
            <w:r>
              <w:rPr>
                <w:sz w:val="20"/>
                <w:szCs w:val="20"/>
                <w:lang w:val="cs-CZ"/>
              </w:rPr>
              <w:t>4,6-dimethylpyrimidinu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(HDP) (27-30 %)</w:t>
            </w:r>
          </w:p>
          <w:p w14:paraId="7D7A7BBF" w14:textId="072C64AB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- volného HDP ≤ 2,5 %</w:t>
            </w:r>
          </w:p>
          <w:p w14:paraId="4D1EA69F" w14:textId="25B1BE4C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8</w:t>
            </w:r>
            <w:r>
              <w:rPr>
                <w:sz w:val="20"/>
                <w:szCs w:val="20"/>
                <w:lang w:val="cs-CZ"/>
              </w:rPr>
              <w:t>N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O</w:t>
            </w:r>
          </w:p>
          <w:p w14:paraId="2EDE3EBB" w14:textId="6BDD88AF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Přidružené nečistoty:</w:t>
            </w:r>
          </w:p>
          <w:p w14:paraId="2CD192F1" w14:textId="3D20446A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>
              <w:rPr>
                <w:i/>
                <w:iCs/>
                <w:sz w:val="20"/>
                <w:szCs w:val="20"/>
                <w:lang w:val="cs-CZ"/>
              </w:rPr>
              <w:t>p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>
              <w:rPr>
                <w:sz w:val="20"/>
                <w:szCs w:val="20"/>
                <w:lang w:val="cs-CZ"/>
              </w:rPr>
              <w:t>nitroanilin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(PNA): ≤ 0,1 %</w:t>
            </w:r>
          </w:p>
          <w:p w14:paraId="19ED6C61" w14:textId="1B32EBD3" w:rsidR="001B7638" w:rsidRPr="0062441D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methyl-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cs-CZ"/>
              </w:rPr>
              <w:t>(4-</w:t>
            </w:r>
            <w:proofErr w:type="gramStart"/>
            <w:r>
              <w:rPr>
                <w:sz w:val="20"/>
                <w:szCs w:val="20"/>
                <w:lang w:val="cs-CZ"/>
              </w:rPr>
              <w:t>nitrofenyl)karbamát</w:t>
            </w:r>
            <w:proofErr w:type="gramEnd"/>
            <w:r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cs-CZ"/>
              </w:rPr>
              <w:t xml:space="preserve"> (M4NPC): ≤ 0,4 %</w:t>
            </w:r>
          </w:p>
          <w:p w14:paraId="09DC083F" w14:textId="77777777" w:rsidR="001B7638" w:rsidRPr="00514C9F" w:rsidRDefault="001B7638" w:rsidP="00D6045C">
            <w:pPr>
              <w:rPr>
                <w:b/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Analytická metoda*:</w:t>
            </w:r>
          </w:p>
          <w:p w14:paraId="67B358C9" w14:textId="77777777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Kvantifikace </w:t>
            </w:r>
            <w:proofErr w:type="spellStart"/>
            <w:r>
              <w:rPr>
                <w:sz w:val="20"/>
                <w:szCs w:val="20"/>
                <w:lang w:val="cs-CZ"/>
              </w:rPr>
              <w:t>monensinu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</w:t>
            </w:r>
            <w:proofErr w:type="spellStart"/>
            <w:r>
              <w:rPr>
                <w:sz w:val="20"/>
                <w:szCs w:val="20"/>
                <w:lang w:val="cs-CZ"/>
              </w:rPr>
              <w:t>doplńkové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látce: vysokoúčinná kapalinová chromatografie s </w:t>
            </w:r>
            <w:proofErr w:type="spellStart"/>
            <w:r>
              <w:rPr>
                <w:sz w:val="20"/>
                <w:szCs w:val="20"/>
                <w:lang w:val="cs-CZ"/>
              </w:rPr>
              <w:t>postkolonovou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derivatizací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VIS detekcí (HPLC-VIS).</w:t>
            </w:r>
          </w:p>
          <w:p w14:paraId="6D8CFD03" w14:textId="77777777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Kvantifikace </w:t>
            </w:r>
            <w:proofErr w:type="spellStart"/>
            <w:r>
              <w:rPr>
                <w:sz w:val="20"/>
                <w:szCs w:val="20"/>
                <w:lang w:val="cs-CZ"/>
              </w:rPr>
              <w:t>monensinu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vysokoúčinná kapalinová chromatografie s </w:t>
            </w:r>
            <w:proofErr w:type="spellStart"/>
            <w:r>
              <w:rPr>
                <w:sz w:val="20"/>
                <w:szCs w:val="20"/>
                <w:lang w:val="cs-CZ"/>
              </w:rPr>
              <w:t>postkolonovou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derivatizací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VIS detekcí (HPLC-VIS) – EN ISO 14183</w:t>
            </w:r>
          </w:p>
          <w:p w14:paraId="4090EBAD" w14:textId="77777777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Kvantifikace </w:t>
            </w:r>
            <w:proofErr w:type="spellStart"/>
            <w:r>
              <w:rPr>
                <w:sz w:val="20"/>
                <w:szCs w:val="20"/>
                <w:lang w:val="cs-CZ"/>
              </w:rPr>
              <w:t>nikarbazinu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doplňkové látce: vysokoúčinná kapalinová chromatografie s </w:t>
            </w:r>
            <w:proofErr w:type="spellStart"/>
            <w:r>
              <w:rPr>
                <w:sz w:val="20"/>
                <w:szCs w:val="20"/>
                <w:lang w:val="cs-CZ"/>
              </w:rPr>
              <w:t>postkolonovou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derivatizací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ultrafialovou detekcí (HPLC-UV).</w:t>
            </w:r>
          </w:p>
          <w:p w14:paraId="1B9DDF76" w14:textId="77777777" w:rsidR="001B7638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Kvantifikace </w:t>
            </w:r>
            <w:proofErr w:type="spellStart"/>
            <w:r>
              <w:rPr>
                <w:sz w:val="20"/>
                <w:szCs w:val="20"/>
                <w:lang w:val="cs-CZ"/>
              </w:rPr>
              <w:t>nikarbazinu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vysokoúčinná kapalinová chromatografie s </w:t>
            </w:r>
            <w:proofErr w:type="spellStart"/>
            <w:r>
              <w:rPr>
                <w:sz w:val="20"/>
                <w:szCs w:val="20"/>
                <w:lang w:val="cs-CZ"/>
              </w:rPr>
              <w:t>postkolonovou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derivatizací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ultrafialovou detekcí (HPLC-UV) – EN ISO 15782.</w:t>
            </w:r>
          </w:p>
          <w:p w14:paraId="59350E76" w14:textId="1D25486E" w:rsidR="001B7638" w:rsidRPr="00514C9F" w:rsidRDefault="001B7638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Pro kvantifikaci </w:t>
            </w:r>
            <w:proofErr w:type="spellStart"/>
            <w:r>
              <w:rPr>
                <w:sz w:val="20"/>
                <w:szCs w:val="20"/>
                <w:lang w:val="cs-CZ"/>
              </w:rPr>
              <w:t>monensinátu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sodného a </w:t>
            </w:r>
            <w:proofErr w:type="spellStart"/>
            <w:r>
              <w:rPr>
                <w:sz w:val="20"/>
                <w:szCs w:val="20"/>
                <w:lang w:val="cs-CZ"/>
              </w:rPr>
              <w:t>nikarbazinu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tkáních: vysokoúčinná kapalinová chromatografie na reverzní fázi ve spojení s hmotnostním spektrometrem s trojitým kvadrupólem (RP-HPLC-MS/MS) nebo jiné rovnocenné metody, které jsou v souladu s požadavky stanovenými v rozhodnutí Komise 2002/657/ES.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E34418" w14:textId="62120F33" w:rsidR="001B7638" w:rsidRPr="00706771" w:rsidRDefault="001B7638" w:rsidP="00D6045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Výkrm kuřat</w:t>
            </w:r>
            <w:r w:rsidR="00706771">
              <w:rPr>
                <w:sz w:val="20"/>
                <w:szCs w:val="20"/>
                <w:vertAlign w:val="superscript"/>
                <w:lang w:val="cs-CZ"/>
              </w:rPr>
              <w:t xml:space="preserve"> 60)</w:t>
            </w:r>
          </w:p>
          <w:p w14:paraId="6EDEE717" w14:textId="1576F1B2" w:rsidR="001B7638" w:rsidRPr="00514C9F" w:rsidRDefault="001B7638" w:rsidP="00D6045C">
            <w:pPr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8545FF4" w14:textId="77777777" w:rsidR="001B7638" w:rsidRPr="00514C9F" w:rsidRDefault="001B7638" w:rsidP="00D6045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514C9F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EDA6962" w14:textId="77777777" w:rsidR="001B7638" w:rsidRDefault="00706771" w:rsidP="00D604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40 mg </w:t>
            </w:r>
            <w:proofErr w:type="spellStart"/>
            <w:r>
              <w:rPr>
                <w:sz w:val="20"/>
                <w:szCs w:val="20"/>
                <w:lang w:val="cs-CZ"/>
              </w:rPr>
              <w:t>monensinátu</w:t>
            </w:r>
            <w:proofErr w:type="spellEnd"/>
            <w:r w:rsidR="00B639D1">
              <w:rPr>
                <w:sz w:val="20"/>
                <w:szCs w:val="20"/>
                <w:lang w:val="cs-CZ"/>
              </w:rPr>
              <w:t xml:space="preserve"> sodného</w:t>
            </w:r>
          </w:p>
          <w:p w14:paraId="594B1B2D" w14:textId="77777777" w:rsidR="00B639D1" w:rsidRDefault="00B639D1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7F2048E" w14:textId="593088FC" w:rsidR="00B639D1" w:rsidRPr="00514C9F" w:rsidRDefault="00B639D1" w:rsidP="00D604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40 mg </w:t>
            </w:r>
            <w:proofErr w:type="spellStart"/>
            <w:r>
              <w:rPr>
                <w:sz w:val="20"/>
                <w:szCs w:val="20"/>
                <w:lang w:val="cs-CZ"/>
              </w:rPr>
              <w:t>nikarbazinu</w:t>
            </w:r>
            <w:proofErr w:type="spellEnd"/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47EA83AC" w14:textId="77777777" w:rsidR="001B7638" w:rsidRDefault="00B639D1" w:rsidP="00D604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</w:t>
            </w:r>
            <w:r w:rsidR="001172DB">
              <w:rPr>
                <w:sz w:val="20"/>
                <w:szCs w:val="20"/>
                <w:lang w:val="cs-CZ"/>
              </w:rPr>
              <w:t xml:space="preserve"> mg </w:t>
            </w:r>
            <w:proofErr w:type="spellStart"/>
            <w:r w:rsidR="001172DB">
              <w:rPr>
                <w:sz w:val="20"/>
                <w:szCs w:val="20"/>
                <w:lang w:val="cs-CZ"/>
              </w:rPr>
              <w:t>monensinátu</w:t>
            </w:r>
            <w:proofErr w:type="spellEnd"/>
            <w:r w:rsidR="001172DB">
              <w:rPr>
                <w:sz w:val="20"/>
                <w:szCs w:val="20"/>
                <w:lang w:val="cs-CZ"/>
              </w:rPr>
              <w:t xml:space="preserve"> sodného</w:t>
            </w:r>
          </w:p>
          <w:p w14:paraId="64DC3D58" w14:textId="77777777" w:rsidR="00E80AC7" w:rsidRDefault="00E80AC7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AA5B198" w14:textId="04B5F888" w:rsidR="00E80AC7" w:rsidRPr="00514C9F" w:rsidRDefault="00E80AC7" w:rsidP="00D604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50 mg </w:t>
            </w:r>
            <w:proofErr w:type="spellStart"/>
            <w:r>
              <w:rPr>
                <w:sz w:val="20"/>
                <w:szCs w:val="20"/>
                <w:lang w:val="cs-CZ"/>
              </w:rPr>
              <w:t>nikarbazinu</w:t>
            </w:r>
            <w:proofErr w:type="spellEnd"/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</w:tcPr>
          <w:p w14:paraId="419B17A5" w14:textId="1A54D1E3" w:rsidR="001B7638" w:rsidRPr="00E60B5D" w:rsidRDefault="005B060C" w:rsidP="00E60B5D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1B7638" w:rsidRPr="00E60B5D">
              <w:rPr>
                <w:sz w:val="20"/>
                <w:szCs w:val="20"/>
                <w:lang w:val="cs-CZ"/>
              </w:rPr>
              <w:t xml:space="preserve">Doplňková látka se do krmné směsi musí zapracovat ve formě </w:t>
            </w:r>
            <w:proofErr w:type="spellStart"/>
            <w:r w:rsidR="001B7638" w:rsidRPr="00E60B5D">
              <w:rPr>
                <w:sz w:val="20"/>
                <w:szCs w:val="20"/>
                <w:lang w:val="cs-CZ"/>
              </w:rPr>
              <w:t>premixu</w:t>
            </w:r>
            <w:proofErr w:type="spellEnd"/>
          </w:p>
          <w:p w14:paraId="75E6DF7E" w14:textId="71F72AAF" w:rsidR="001B7638" w:rsidRPr="00514C9F" w:rsidRDefault="005B060C" w:rsidP="00D6045C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1B7638" w:rsidRPr="00514C9F">
              <w:rPr>
                <w:sz w:val="20"/>
                <w:szCs w:val="20"/>
                <w:lang w:val="cs-CZ"/>
              </w:rPr>
              <w:t>D</w:t>
            </w:r>
            <w:r w:rsidR="00C12059">
              <w:rPr>
                <w:sz w:val="20"/>
                <w:szCs w:val="20"/>
                <w:lang w:val="cs-CZ"/>
              </w:rPr>
              <w:t xml:space="preserve">oplňková látka </w:t>
            </w:r>
            <w:r w:rsidR="001B7638" w:rsidRPr="00514C9F">
              <w:rPr>
                <w:sz w:val="20"/>
                <w:szCs w:val="20"/>
                <w:lang w:val="cs-CZ"/>
              </w:rPr>
              <w:t>se nesmí mí</w:t>
            </w:r>
            <w:r w:rsidR="00C12059">
              <w:rPr>
                <w:sz w:val="20"/>
                <w:szCs w:val="20"/>
                <w:lang w:val="cs-CZ"/>
              </w:rPr>
              <w:t>chat</w:t>
            </w:r>
            <w:r w:rsidR="001B7638" w:rsidRPr="00514C9F">
              <w:rPr>
                <w:sz w:val="20"/>
                <w:szCs w:val="20"/>
                <w:lang w:val="cs-CZ"/>
              </w:rPr>
              <w:t xml:space="preserve"> s jinými </w:t>
            </w:r>
            <w:proofErr w:type="spellStart"/>
            <w:r w:rsidR="001B7638" w:rsidRPr="00514C9F">
              <w:rPr>
                <w:sz w:val="20"/>
                <w:szCs w:val="20"/>
                <w:lang w:val="cs-CZ"/>
              </w:rPr>
              <w:t>kokcidiostatiky</w:t>
            </w:r>
            <w:proofErr w:type="spellEnd"/>
          </w:p>
          <w:p w14:paraId="3518DAB6" w14:textId="30FF16CB" w:rsidR="001B7638" w:rsidRPr="00514C9F" w:rsidRDefault="0047294B" w:rsidP="00D6045C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návodu k použití musí být uvedeno: „Nebezpečné pro koňovité</w:t>
            </w:r>
            <w:r w:rsidR="00CF60D4">
              <w:rPr>
                <w:sz w:val="20"/>
                <w:szCs w:val="20"/>
                <w:lang w:val="cs-CZ"/>
              </w:rPr>
              <w:t>. Toto krmivo obsahuje ionofor: nepodávat současně s </w:t>
            </w:r>
            <w:proofErr w:type="spellStart"/>
            <w:r w:rsidR="00CF60D4">
              <w:rPr>
                <w:sz w:val="20"/>
                <w:szCs w:val="20"/>
                <w:lang w:val="cs-CZ"/>
              </w:rPr>
              <w:t>tiamulinem</w:t>
            </w:r>
            <w:proofErr w:type="spellEnd"/>
            <w:r w:rsidR="00CF60D4">
              <w:rPr>
                <w:sz w:val="20"/>
                <w:szCs w:val="20"/>
                <w:lang w:val="cs-CZ"/>
              </w:rPr>
              <w:t xml:space="preserve"> a sledovat případné nežádoucí</w:t>
            </w:r>
            <w:r w:rsidR="00D63A63">
              <w:rPr>
                <w:sz w:val="20"/>
                <w:szCs w:val="20"/>
                <w:lang w:val="cs-CZ"/>
              </w:rPr>
              <w:t xml:space="preserve"> reakce při současném podávání jiných léčebných látek“.</w:t>
            </w:r>
          </w:p>
          <w:p w14:paraId="0C717A08" w14:textId="77777777" w:rsidR="004354CA" w:rsidRDefault="002B07E4" w:rsidP="00D6045C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</w:t>
            </w:r>
            <w:r w:rsidR="001B7638" w:rsidRPr="00514C9F">
              <w:rPr>
                <w:sz w:val="20"/>
                <w:szCs w:val="20"/>
                <w:lang w:val="cs-CZ"/>
              </w:rPr>
              <w:t>Držitel povolení provede program</w:t>
            </w:r>
            <w:r>
              <w:rPr>
                <w:sz w:val="20"/>
                <w:szCs w:val="20"/>
                <w:lang w:val="cs-CZ"/>
              </w:rPr>
              <w:t>y</w:t>
            </w:r>
            <w:r w:rsidR="001B7638" w:rsidRPr="00514C9F">
              <w:rPr>
                <w:sz w:val="20"/>
                <w:szCs w:val="20"/>
                <w:lang w:val="cs-CZ"/>
              </w:rPr>
              <w:t xml:space="preserve"> monitorování po uvedení na </w:t>
            </w:r>
            <w:proofErr w:type="gramStart"/>
            <w:r w:rsidR="001B7638" w:rsidRPr="00514C9F">
              <w:rPr>
                <w:sz w:val="20"/>
                <w:szCs w:val="20"/>
                <w:lang w:val="cs-CZ"/>
              </w:rPr>
              <w:t>trh</w:t>
            </w:r>
            <w:proofErr w:type="gramEnd"/>
            <w:r w:rsidR="001B7638" w:rsidRPr="00514C9F">
              <w:rPr>
                <w:sz w:val="20"/>
                <w:szCs w:val="20"/>
                <w:lang w:val="cs-CZ"/>
              </w:rPr>
              <w:t xml:space="preserve"> </w:t>
            </w:r>
            <w:r w:rsidR="004354CA">
              <w:rPr>
                <w:sz w:val="20"/>
                <w:szCs w:val="20"/>
                <w:lang w:val="cs-CZ"/>
              </w:rPr>
              <w:t>pokud jde o:</w:t>
            </w:r>
          </w:p>
          <w:p w14:paraId="0A87052B" w14:textId="77777777" w:rsidR="001B7638" w:rsidRDefault="004354CA" w:rsidP="00D6045C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–</w:t>
            </w:r>
            <w:r w:rsidR="001B7638" w:rsidRPr="00514C9F">
              <w:rPr>
                <w:sz w:val="20"/>
                <w:szCs w:val="20"/>
                <w:lang w:val="cs-CZ"/>
              </w:rPr>
              <w:t xml:space="preserve"> odolnost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1B7638" w:rsidRPr="00514C9F">
              <w:rPr>
                <w:sz w:val="20"/>
                <w:szCs w:val="20"/>
                <w:lang w:val="cs-CZ"/>
              </w:rPr>
              <w:t xml:space="preserve">vůči bakteriím a </w:t>
            </w:r>
            <w:proofErr w:type="spellStart"/>
            <w:r w:rsidR="001B7638" w:rsidRPr="00514C9F">
              <w:rPr>
                <w:i/>
                <w:sz w:val="20"/>
                <w:szCs w:val="20"/>
                <w:lang w:val="cs-CZ"/>
              </w:rPr>
              <w:t>Eimeria</w:t>
            </w:r>
            <w:proofErr w:type="spellEnd"/>
            <w:r w:rsidR="001B7638"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1B7638" w:rsidRPr="00514C9F">
              <w:rPr>
                <w:sz w:val="20"/>
                <w:szCs w:val="20"/>
                <w:lang w:val="cs-CZ"/>
              </w:rPr>
              <w:t>spp</w:t>
            </w:r>
            <w:proofErr w:type="spellEnd"/>
            <w:r w:rsidR="001B7638" w:rsidRPr="00514C9F">
              <w:rPr>
                <w:sz w:val="20"/>
                <w:szCs w:val="20"/>
                <w:lang w:val="cs-CZ"/>
              </w:rPr>
              <w:t xml:space="preserve">. </w:t>
            </w:r>
          </w:p>
          <w:p w14:paraId="1C49FBE3" w14:textId="7D307F8C" w:rsidR="00EC047F" w:rsidRPr="00514C9F" w:rsidRDefault="00EC047F" w:rsidP="00D6045C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1C3FBA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</w:t>
            </w:r>
            <w:r w:rsidR="00AF3729">
              <w:rPr>
                <w:sz w:val="20"/>
                <w:szCs w:val="20"/>
                <w:lang w:val="cs-CZ"/>
              </w:rPr>
              <w:t>nizační opatření, která budou řešit případná rizika vyplývající z jejich použití. Pokud rizika</w:t>
            </w:r>
            <w:r w:rsidR="002F6227">
              <w:rPr>
                <w:sz w:val="20"/>
                <w:szCs w:val="20"/>
                <w:lang w:val="cs-CZ"/>
              </w:rPr>
              <w:t xml:space="preserve"> nelze těmito postupy a opatřeními vyloučit nebo snížit na minimum, musí se doplňková látka a </w:t>
            </w:r>
            <w:proofErr w:type="spellStart"/>
            <w:r w:rsidR="002F6227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2F6227">
              <w:rPr>
                <w:sz w:val="20"/>
                <w:szCs w:val="20"/>
                <w:lang w:val="cs-CZ"/>
              </w:rPr>
              <w:t xml:space="preserve"> používat s vhodnými osobními ochrannými prostředky</w:t>
            </w:r>
            <w:r w:rsidR="00471736">
              <w:rPr>
                <w:sz w:val="20"/>
                <w:szCs w:val="20"/>
                <w:lang w:val="cs-CZ"/>
              </w:rPr>
              <w:t>, včetně ochrany očí, kůže a dýchacích cest.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5D50EC7C" w14:textId="0BB724EE" w:rsidR="001B7638" w:rsidRPr="00514C9F" w:rsidRDefault="00E60B5D" w:rsidP="00D6045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  <w:r w:rsidR="001B7638" w:rsidRPr="00514C9F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  <w:r w:rsidR="001B7638" w:rsidRPr="00514C9F">
              <w:rPr>
                <w:sz w:val="20"/>
              </w:rPr>
              <w:t>.20</w:t>
            </w:r>
            <w:r>
              <w:rPr>
                <w:sz w:val="20"/>
              </w:rPr>
              <w:t>30</w:t>
            </w:r>
          </w:p>
        </w:tc>
        <w:tc>
          <w:tcPr>
            <w:tcW w:w="1326" w:type="dxa"/>
            <w:vMerge w:val="restart"/>
          </w:tcPr>
          <w:p w14:paraId="75E0354F" w14:textId="4E55479D" w:rsidR="001B7638" w:rsidRPr="00514C9F" w:rsidRDefault="001B7638" w:rsidP="00D6045C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>-</w:t>
            </w:r>
            <w:r w:rsidR="00B6285B">
              <w:rPr>
                <w:sz w:val="20"/>
              </w:rPr>
              <w:t>25</w:t>
            </w:r>
            <w:r w:rsidRPr="00514C9F">
              <w:rPr>
                <w:sz w:val="20"/>
              </w:rPr>
              <w:t xml:space="preserve"> µg </w:t>
            </w:r>
            <w:proofErr w:type="spellStart"/>
            <w:r w:rsidR="002E0C97">
              <w:rPr>
                <w:sz w:val="20"/>
              </w:rPr>
              <w:t>monensinátu</w:t>
            </w:r>
            <w:proofErr w:type="spellEnd"/>
            <w:r w:rsidR="002E0C97">
              <w:rPr>
                <w:sz w:val="20"/>
              </w:rPr>
              <w:t xml:space="preserve"> sodného</w:t>
            </w:r>
            <w:r w:rsidRPr="00514C9F">
              <w:rPr>
                <w:sz w:val="20"/>
              </w:rPr>
              <w:t xml:space="preserve">/kg </w:t>
            </w:r>
            <w:r w:rsidR="002E0C97">
              <w:rPr>
                <w:sz w:val="20"/>
              </w:rPr>
              <w:t xml:space="preserve">kůže a tuku </w:t>
            </w:r>
            <w:r w:rsidRPr="00514C9F">
              <w:rPr>
                <w:sz w:val="20"/>
              </w:rPr>
              <w:t>v syrovém stavu</w:t>
            </w:r>
          </w:p>
          <w:p w14:paraId="356A11C2" w14:textId="3D8A0FAA" w:rsidR="001B7638" w:rsidRPr="00514C9F" w:rsidRDefault="001B7638" w:rsidP="00D6045C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>-</w:t>
            </w:r>
            <w:r w:rsidR="002E0C97">
              <w:rPr>
                <w:sz w:val="20"/>
              </w:rPr>
              <w:t>8</w:t>
            </w:r>
            <w:r w:rsidRPr="00514C9F">
              <w:rPr>
                <w:sz w:val="20"/>
              </w:rPr>
              <w:t xml:space="preserve"> µg </w:t>
            </w:r>
            <w:proofErr w:type="spellStart"/>
            <w:r w:rsidR="002E0C97">
              <w:rPr>
                <w:sz w:val="20"/>
              </w:rPr>
              <w:t>monensinátu</w:t>
            </w:r>
            <w:proofErr w:type="spellEnd"/>
            <w:r w:rsidR="002E0C97">
              <w:rPr>
                <w:sz w:val="20"/>
              </w:rPr>
              <w:t xml:space="preserve"> sodného</w:t>
            </w:r>
            <w:r w:rsidRPr="00514C9F">
              <w:rPr>
                <w:sz w:val="20"/>
              </w:rPr>
              <w:t xml:space="preserve">/kg </w:t>
            </w:r>
            <w:r w:rsidR="00180324">
              <w:rPr>
                <w:sz w:val="20"/>
              </w:rPr>
              <w:t xml:space="preserve">jater, </w:t>
            </w:r>
            <w:r w:rsidRPr="00514C9F">
              <w:rPr>
                <w:sz w:val="20"/>
              </w:rPr>
              <w:t>ledvin</w:t>
            </w:r>
            <w:r w:rsidR="00180324">
              <w:rPr>
                <w:sz w:val="20"/>
              </w:rPr>
              <w:t xml:space="preserve"> a svaloviny</w:t>
            </w:r>
            <w:r w:rsidRPr="00514C9F">
              <w:rPr>
                <w:sz w:val="20"/>
              </w:rPr>
              <w:t xml:space="preserve"> v syrovém stavu</w:t>
            </w:r>
          </w:p>
          <w:p w14:paraId="41381545" w14:textId="496E30D7" w:rsidR="001B7638" w:rsidRPr="00514C9F" w:rsidRDefault="001B7638" w:rsidP="00D6045C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>-</w:t>
            </w:r>
            <w:r w:rsidR="00180324">
              <w:rPr>
                <w:sz w:val="20"/>
              </w:rPr>
              <w:t>15 000</w:t>
            </w:r>
            <w:r w:rsidRPr="00514C9F">
              <w:rPr>
                <w:sz w:val="20"/>
              </w:rPr>
              <w:t xml:space="preserve"> µg</w:t>
            </w:r>
            <w:r w:rsidR="00180324">
              <w:rPr>
                <w:sz w:val="20"/>
              </w:rPr>
              <w:t xml:space="preserve"> DNC</w:t>
            </w:r>
            <w:r w:rsidRPr="00514C9F">
              <w:rPr>
                <w:sz w:val="20"/>
              </w:rPr>
              <w:t xml:space="preserve">/kg </w:t>
            </w:r>
            <w:r w:rsidR="00FD67A6">
              <w:rPr>
                <w:sz w:val="20"/>
              </w:rPr>
              <w:t>jater</w:t>
            </w:r>
            <w:r w:rsidRPr="00514C9F">
              <w:rPr>
                <w:sz w:val="20"/>
              </w:rPr>
              <w:t xml:space="preserve"> v syrovém stavu</w:t>
            </w:r>
          </w:p>
          <w:p w14:paraId="1F94D115" w14:textId="6A8AB648" w:rsidR="001B7638" w:rsidRPr="00514C9F" w:rsidRDefault="001B7638" w:rsidP="00D6045C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>-</w:t>
            </w:r>
            <w:r w:rsidR="00FD67A6">
              <w:rPr>
                <w:sz w:val="20"/>
              </w:rPr>
              <w:t>6 000</w:t>
            </w:r>
            <w:r w:rsidRPr="00514C9F">
              <w:rPr>
                <w:sz w:val="20"/>
              </w:rPr>
              <w:t xml:space="preserve"> µg </w:t>
            </w:r>
            <w:r w:rsidR="00FD67A6">
              <w:rPr>
                <w:sz w:val="20"/>
              </w:rPr>
              <w:t>DNC</w:t>
            </w:r>
            <w:r w:rsidRPr="00514C9F">
              <w:rPr>
                <w:sz w:val="20"/>
              </w:rPr>
              <w:t xml:space="preserve">/kg </w:t>
            </w:r>
            <w:r w:rsidR="00C00581">
              <w:rPr>
                <w:sz w:val="20"/>
              </w:rPr>
              <w:t>ledvin</w:t>
            </w:r>
            <w:r w:rsidRPr="00514C9F">
              <w:rPr>
                <w:sz w:val="20"/>
              </w:rPr>
              <w:t xml:space="preserve"> v syrovém stavu</w:t>
            </w:r>
          </w:p>
        </w:tc>
      </w:tr>
      <w:tr w:rsidR="001B7638" w:rsidRPr="00514C9F" w14:paraId="1A5BE3B2" w14:textId="77777777" w:rsidTr="00E60B5D">
        <w:trPr>
          <w:trHeight w:val="465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4EE34D2D" w14:textId="77777777" w:rsidR="001B7638" w:rsidRPr="00514C9F" w:rsidRDefault="001B7638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0114A233" w14:textId="77777777" w:rsidR="001B7638" w:rsidRPr="00514C9F" w:rsidRDefault="001B7638" w:rsidP="00D604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vMerge/>
            <w:tcMar>
              <w:top w:w="57" w:type="dxa"/>
              <w:bottom w:w="57" w:type="dxa"/>
            </w:tcMar>
          </w:tcPr>
          <w:p w14:paraId="0F9F32C1" w14:textId="77777777" w:rsidR="001B7638" w:rsidRDefault="001B7638" w:rsidP="00D604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696AE0BE" w14:textId="77777777" w:rsidR="001B7638" w:rsidRPr="00514C9F" w:rsidRDefault="001B7638" w:rsidP="00D6045C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3CBB11" w14:textId="7C2F2F6E" w:rsidR="001B7638" w:rsidRPr="00706771" w:rsidRDefault="001B7638" w:rsidP="00D6045C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Výkrm krůt</w:t>
            </w:r>
            <w:r w:rsidR="00706771">
              <w:rPr>
                <w:sz w:val="20"/>
                <w:szCs w:val="20"/>
                <w:vertAlign w:val="superscript"/>
                <w:lang w:val="cs-CZ"/>
              </w:rPr>
              <w:t xml:space="preserve"> 60)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E15BD5" w14:textId="1EF90309" w:rsidR="001B7638" w:rsidRPr="00706771" w:rsidRDefault="00706771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706771">
              <w:rPr>
                <w:sz w:val="20"/>
                <w:szCs w:val="20"/>
                <w:lang w:val="cs-CZ"/>
              </w:rPr>
              <w:t>16 týdnů</w:t>
            </w: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88CE05C" w14:textId="77777777" w:rsidR="001B7638" w:rsidRPr="00514C9F" w:rsidRDefault="001B7638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3F87E511" w14:textId="77777777" w:rsidR="001B7638" w:rsidRPr="00514C9F" w:rsidRDefault="001B7638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14:paraId="5B6B8721" w14:textId="77777777" w:rsidR="001B7638" w:rsidRPr="00514C9F" w:rsidRDefault="001B7638" w:rsidP="00D6045C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72BE18B" w14:textId="77777777" w:rsidR="001B7638" w:rsidRPr="00514C9F" w:rsidRDefault="001B7638" w:rsidP="00D6045C">
            <w:pPr>
              <w:pStyle w:val="HeaderLandscape"/>
              <w:spacing w:before="0" w:after="0"/>
              <w:rPr>
                <w:sz w:val="20"/>
              </w:rPr>
            </w:pPr>
          </w:p>
        </w:tc>
        <w:tc>
          <w:tcPr>
            <w:tcW w:w="1326" w:type="dxa"/>
            <w:vMerge/>
          </w:tcPr>
          <w:p w14:paraId="79786231" w14:textId="77777777" w:rsidR="001B7638" w:rsidRPr="00514C9F" w:rsidRDefault="001B7638" w:rsidP="00D6045C">
            <w:pPr>
              <w:pStyle w:val="HeaderLandscape"/>
              <w:spacing w:before="0" w:after="0"/>
              <w:jc w:val="left"/>
              <w:rPr>
                <w:sz w:val="20"/>
              </w:rPr>
            </w:pPr>
          </w:p>
        </w:tc>
      </w:tr>
      <w:tr w:rsidR="001B7638" w:rsidRPr="00514C9F" w14:paraId="2D49EC0A" w14:textId="77777777" w:rsidTr="00E60B5D">
        <w:trPr>
          <w:trHeight w:val="4200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2D7AFDE7" w14:textId="77777777" w:rsidR="001B7638" w:rsidRPr="00514C9F" w:rsidRDefault="001B7638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626B43D5" w14:textId="77777777" w:rsidR="001B7638" w:rsidRPr="00514C9F" w:rsidRDefault="001B7638" w:rsidP="00D604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vMerge/>
            <w:tcMar>
              <w:top w:w="57" w:type="dxa"/>
              <w:bottom w:w="57" w:type="dxa"/>
            </w:tcMar>
          </w:tcPr>
          <w:p w14:paraId="48163611" w14:textId="77777777" w:rsidR="001B7638" w:rsidRDefault="001B7638" w:rsidP="00D604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17251567" w14:textId="77777777" w:rsidR="001B7638" w:rsidRPr="00514C9F" w:rsidRDefault="001B7638" w:rsidP="00D6045C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4B2C120" w14:textId="66095608" w:rsidR="001B7638" w:rsidRPr="00514C9F" w:rsidRDefault="00706771" w:rsidP="00D604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kuřic</w:t>
            </w:r>
            <w:r w:rsidR="001B7638" w:rsidRPr="00514C9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60</w:t>
            </w:r>
            <w:r w:rsidR="001B7638" w:rsidRPr="00514C9F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58A79EA6" w14:textId="219DF473" w:rsidR="001B7638" w:rsidRPr="00706771" w:rsidRDefault="00706771" w:rsidP="00D604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 týdnů</w:t>
            </w: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17E1EB9" w14:textId="77777777" w:rsidR="001B7638" w:rsidRPr="00514C9F" w:rsidRDefault="001B7638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4E6D5F92" w14:textId="77777777" w:rsidR="001B7638" w:rsidRPr="00514C9F" w:rsidRDefault="001B7638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14:paraId="54F83F00" w14:textId="77777777" w:rsidR="001B7638" w:rsidRPr="00514C9F" w:rsidRDefault="001B7638" w:rsidP="00D6045C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295D078" w14:textId="77777777" w:rsidR="001B7638" w:rsidRPr="00514C9F" w:rsidRDefault="001B7638" w:rsidP="00D6045C">
            <w:pPr>
              <w:pStyle w:val="HeaderLandscape"/>
              <w:spacing w:before="0" w:after="0"/>
              <w:rPr>
                <w:sz w:val="20"/>
              </w:rPr>
            </w:pPr>
          </w:p>
        </w:tc>
        <w:tc>
          <w:tcPr>
            <w:tcW w:w="1326" w:type="dxa"/>
            <w:vMerge/>
          </w:tcPr>
          <w:p w14:paraId="586B73E5" w14:textId="77777777" w:rsidR="001B7638" w:rsidRPr="00514C9F" w:rsidRDefault="001B7638" w:rsidP="00D6045C">
            <w:pPr>
              <w:pStyle w:val="HeaderLandscape"/>
              <w:spacing w:before="0" w:after="0"/>
              <w:jc w:val="left"/>
              <w:rPr>
                <w:sz w:val="20"/>
              </w:rPr>
            </w:pPr>
          </w:p>
        </w:tc>
      </w:tr>
      <w:tr w:rsidR="007608C9" w:rsidRPr="00514C9F" w14:paraId="480F3896" w14:textId="77777777" w:rsidTr="00E60B5D">
        <w:trPr>
          <w:trHeight w:val="2527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67B7173B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760322E6" w14:textId="77777777" w:rsidR="007608C9" w:rsidRPr="00514C9F" w:rsidRDefault="007608C9" w:rsidP="00D604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vMerge/>
            <w:tcMar>
              <w:top w:w="57" w:type="dxa"/>
              <w:bottom w:w="57" w:type="dxa"/>
            </w:tcMar>
          </w:tcPr>
          <w:p w14:paraId="715EC40B" w14:textId="77777777" w:rsidR="007608C9" w:rsidRPr="00514C9F" w:rsidRDefault="007608C9" w:rsidP="00D604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5B93C8D0" w14:textId="77777777" w:rsidR="007608C9" w:rsidRPr="00514C9F" w:rsidRDefault="007608C9" w:rsidP="00D6045C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8BC647" w14:textId="2F7149E5" w:rsidR="007608C9" w:rsidRPr="00514C9F" w:rsidRDefault="007608C9" w:rsidP="00D6045C">
            <w:pPr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40426F27" w14:textId="77777777" w:rsidR="007608C9" w:rsidRPr="00514C9F" w:rsidRDefault="007608C9" w:rsidP="00D6045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FAF1172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A3D19EF" w14:textId="77777777" w:rsidR="007608C9" w:rsidRPr="00514C9F" w:rsidRDefault="007608C9" w:rsidP="00D6045C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14:paraId="65189F4B" w14:textId="77777777" w:rsidR="007608C9" w:rsidRPr="00514C9F" w:rsidRDefault="007608C9" w:rsidP="00D6045C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A3E64C" w14:textId="282C9535" w:rsidR="007608C9" w:rsidRPr="00514C9F" w:rsidRDefault="007608C9" w:rsidP="00D6045C">
            <w:pPr>
              <w:pStyle w:val="HeaderLandscape"/>
              <w:spacing w:before="0" w:after="0"/>
              <w:rPr>
                <w:sz w:val="20"/>
              </w:rPr>
            </w:pPr>
          </w:p>
        </w:tc>
        <w:tc>
          <w:tcPr>
            <w:tcW w:w="1326" w:type="dxa"/>
          </w:tcPr>
          <w:p w14:paraId="297D9EF4" w14:textId="29A5D3BD" w:rsidR="007608C9" w:rsidRPr="00514C9F" w:rsidRDefault="007608C9" w:rsidP="00D6045C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514C9F">
              <w:rPr>
                <w:sz w:val="20"/>
              </w:rPr>
              <w:t>-</w:t>
            </w:r>
            <w:r w:rsidR="00C00581">
              <w:rPr>
                <w:sz w:val="20"/>
              </w:rPr>
              <w:t>4 000</w:t>
            </w:r>
            <w:r w:rsidRPr="00514C9F">
              <w:rPr>
                <w:sz w:val="20"/>
              </w:rPr>
              <w:t xml:space="preserve"> µg </w:t>
            </w:r>
            <w:r w:rsidR="00C00581">
              <w:rPr>
                <w:sz w:val="20"/>
              </w:rPr>
              <w:t>DNC</w:t>
            </w:r>
            <w:r w:rsidRPr="00514C9F">
              <w:rPr>
                <w:sz w:val="20"/>
              </w:rPr>
              <w:t xml:space="preserve">/kg </w:t>
            </w:r>
            <w:r w:rsidR="00C00581">
              <w:rPr>
                <w:sz w:val="20"/>
              </w:rPr>
              <w:t>pro svalovinu</w:t>
            </w:r>
            <w:r w:rsidRPr="00514C9F">
              <w:rPr>
                <w:sz w:val="20"/>
              </w:rPr>
              <w:t xml:space="preserve"> v syrovém stavu</w:t>
            </w:r>
            <w:r w:rsidR="00406E1E">
              <w:rPr>
                <w:sz w:val="20"/>
              </w:rPr>
              <w:t xml:space="preserve"> a kůži/tuk v syrovém stavu</w:t>
            </w:r>
          </w:p>
          <w:p w14:paraId="334A64F1" w14:textId="33B9EBDE" w:rsidR="007608C9" w:rsidRPr="00514C9F" w:rsidRDefault="007608C9" w:rsidP="00D6045C">
            <w:pPr>
              <w:pStyle w:val="HeaderLandscape"/>
              <w:spacing w:before="0" w:after="0"/>
              <w:jc w:val="left"/>
              <w:rPr>
                <w:sz w:val="20"/>
              </w:rPr>
            </w:pPr>
          </w:p>
        </w:tc>
      </w:tr>
    </w:tbl>
    <w:p w14:paraId="1A91B861" w14:textId="77777777" w:rsidR="000B72B8" w:rsidRPr="00514C9F" w:rsidRDefault="000B72B8" w:rsidP="000B72B8">
      <w:pPr>
        <w:rPr>
          <w:sz w:val="20"/>
          <w:lang w:val="cs-CZ"/>
        </w:rPr>
      </w:pPr>
    </w:p>
    <w:p w14:paraId="4D4CE0AA" w14:textId="63595DC8" w:rsidR="00AE3D85" w:rsidRDefault="00AE3D85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1275"/>
        <w:gridCol w:w="3686"/>
        <w:gridCol w:w="1134"/>
        <w:gridCol w:w="709"/>
        <w:gridCol w:w="850"/>
        <w:gridCol w:w="1134"/>
        <w:gridCol w:w="3119"/>
        <w:gridCol w:w="1134"/>
      </w:tblGrid>
      <w:tr w:rsidR="000C373F" w:rsidRPr="00514C9F" w14:paraId="1BD4571B" w14:textId="77777777" w:rsidTr="00B100FB">
        <w:trPr>
          <w:cantSplit/>
          <w:trHeight w:val="636"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56F459A" w14:textId="143B1C7E" w:rsidR="00465C9F" w:rsidRPr="00514C9F" w:rsidRDefault="00465C9F" w:rsidP="001B3523">
            <w:pPr>
              <w:pStyle w:val="Tabulka"/>
              <w:keepNext w:val="0"/>
              <w:keepLines w:val="0"/>
              <w:rPr>
                <w:lang w:val="cs-CZ"/>
              </w:rPr>
            </w:pPr>
            <w:r w:rsidRPr="00514C9F">
              <w:rPr>
                <w:color w:val="000000"/>
                <w:lang w:val="cs-CZ"/>
              </w:rPr>
              <w:lastRenderedPageBreak/>
              <w:br w:type="page"/>
            </w:r>
            <w:proofErr w:type="spellStart"/>
            <w:r w:rsidRPr="00514C9F">
              <w:rPr>
                <w:lang w:val="cs-CZ"/>
              </w:rPr>
              <w:t>Identif</w:t>
            </w:r>
            <w:proofErr w:type="spellEnd"/>
            <w:r>
              <w:rPr>
                <w:lang w:val="cs-CZ"/>
              </w:rPr>
              <w:t>.</w:t>
            </w:r>
            <w:r w:rsidRPr="00514C9F">
              <w:rPr>
                <w:lang w:val="cs-CZ"/>
              </w:rPr>
              <w:t xml:space="preserve"> číslo </w:t>
            </w:r>
            <w:r>
              <w:rPr>
                <w:lang w:val="cs-CZ"/>
              </w:rPr>
              <w:t>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8CE2898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7F82E9B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Doplňková látka</w:t>
            </w:r>
          </w:p>
          <w:p w14:paraId="7720AC8C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887890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D85EFF8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653FE20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Maxi-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2F48BD03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487D616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Minim</w:t>
            </w:r>
            <w:r>
              <w:rPr>
                <w:sz w:val="20"/>
                <w:szCs w:val="20"/>
                <w:lang w:val="cs-CZ"/>
              </w:rPr>
              <w:t>.</w:t>
            </w:r>
            <w:r w:rsidRPr="00514C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A2CD419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11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4D18F35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66FD312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65C9F" w:rsidRPr="00514C9F" w14:paraId="07A98E24" w14:textId="77777777" w:rsidTr="00B100FB">
        <w:trPr>
          <w:cantSplit/>
          <w:trHeight w:val="20"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3C1E6AD8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5F5B79B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6E91BF06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685A43FC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9EF0FA8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13389C91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Mar>
              <w:top w:w="57" w:type="dxa"/>
              <w:bottom w:w="57" w:type="dxa"/>
            </w:tcMar>
          </w:tcPr>
          <w:p w14:paraId="7DDB15CD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mg účinné látky/kg kompletního krmiva s obsahem vlhkosti 12 %</w:t>
            </w: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58E06357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34FE2D6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65C9F" w:rsidRPr="00514C9F" w14:paraId="214283B8" w14:textId="77777777" w:rsidTr="00B100FB">
        <w:trPr>
          <w:trHeight w:val="65"/>
          <w:tblHeader/>
        </w:trPr>
        <w:tc>
          <w:tcPr>
            <w:tcW w:w="84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EBEA68A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307BD19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1AEE2E11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14:paraId="3E6A0EAE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5C1EE26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7BD9DF79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984" w:type="dxa"/>
            <w:gridSpan w:val="2"/>
            <w:tcMar>
              <w:top w:w="0" w:type="dxa"/>
              <w:bottom w:w="0" w:type="dxa"/>
            </w:tcMar>
          </w:tcPr>
          <w:p w14:paraId="705F2395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0CE50A6F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9CE0F2D" w14:textId="7777777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9</w:t>
            </w:r>
          </w:p>
        </w:tc>
      </w:tr>
      <w:tr w:rsidR="000C373F" w:rsidRPr="00514C9F" w14:paraId="28B3A9E3" w14:textId="77777777" w:rsidTr="00B100FB">
        <w:trPr>
          <w:trHeight w:val="6405"/>
        </w:trPr>
        <w:tc>
          <w:tcPr>
            <w:tcW w:w="8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C3F9DF" w14:textId="5B354755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514C9F">
              <w:rPr>
                <w:sz w:val="20"/>
                <w:szCs w:val="20"/>
                <w:lang w:val="cs-CZ"/>
              </w:rPr>
              <w:t>5177</w:t>
            </w:r>
            <w:r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C559EB0" w14:textId="55D75113" w:rsidR="00465C9F" w:rsidRPr="00514C9F" w:rsidRDefault="00465C9F" w:rsidP="001B3523">
            <w:pPr>
              <w:rPr>
                <w:sz w:val="20"/>
                <w:szCs w:val="20"/>
                <w:lang w:val="cs-CZ"/>
              </w:rPr>
            </w:pPr>
            <w:proofErr w:type="spellStart"/>
            <w:r w:rsidRPr="00514C9F">
              <w:rPr>
                <w:sz w:val="20"/>
                <w:szCs w:val="20"/>
                <w:lang w:val="cs-CZ"/>
              </w:rPr>
              <w:t>Huve</w:t>
            </w:r>
            <w:r>
              <w:rPr>
                <w:sz w:val="20"/>
                <w:szCs w:val="20"/>
                <w:lang w:val="cs-CZ"/>
              </w:rPr>
              <w:t>P</w:t>
            </w:r>
            <w:r w:rsidRPr="00514C9F">
              <w:rPr>
                <w:sz w:val="20"/>
                <w:szCs w:val="20"/>
                <w:lang w:val="cs-CZ"/>
              </w:rPr>
              <w:t>harma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NV.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82C0B4A" w14:textId="761F0E06" w:rsidR="00465C9F" w:rsidRPr="00514C9F" w:rsidRDefault="00465C9F" w:rsidP="001B352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Amprolium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hydrochlorid (COXAM)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7CB9FD81" w14:textId="77777777" w:rsidR="00465C9F" w:rsidRPr="00514C9F" w:rsidRDefault="00465C9F" w:rsidP="001B3523">
            <w:pPr>
              <w:rPr>
                <w:b/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77BBBE3E" w14:textId="0CF03318" w:rsidR="00465C9F" w:rsidRDefault="00465C9F" w:rsidP="001B352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Amprolium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HCl</w:t>
            </w:r>
            <w:proofErr w:type="spellEnd"/>
            <w:r>
              <w:rPr>
                <w:sz w:val="20"/>
                <w:szCs w:val="20"/>
                <w:lang w:val="cs-CZ"/>
              </w:rPr>
              <w:t>: 250 g/kg</w:t>
            </w:r>
          </w:p>
          <w:p w14:paraId="75E4CA5A" w14:textId="5C133D03" w:rsidR="00465C9F" w:rsidRDefault="00465C9F" w:rsidP="001B352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Kapalný parafín: 30 g/kg</w:t>
            </w:r>
          </w:p>
          <w:p w14:paraId="691893F9" w14:textId="39B15939" w:rsidR="00465C9F" w:rsidRPr="0027112F" w:rsidRDefault="00465C9F" w:rsidP="001B352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Rýžové </w:t>
            </w:r>
            <w:proofErr w:type="spellStart"/>
            <w:r>
              <w:rPr>
                <w:sz w:val="20"/>
                <w:szCs w:val="20"/>
                <w:lang w:val="cs-CZ"/>
              </w:rPr>
              <w:t>slupk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do 1000 g</w:t>
            </w:r>
          </w:p>
          <w:p w14:paraId="787E4AE1" w14:textId="77777777" w:rsidR="00465C9F" w:rsidRPr="00514C9F" w:rsidRDefault="00465C9F" w:rsidP="001B3523">
            <w:pPr>
              <w:rPr>
                <w:sz w:val="20"/>
                <w:szCs w:val="20"/>
                <w:lang w:val="cs-CZ"/>
              </w:rPr>
            </w:pPr>
          </w:p>
          <w:p w14:paraId="200B8B68" w14:textId="77777777" w:rsidR="00465C9F" w:rsidRDefault="00465C9F" w:rsidP="001B3523">
            <w:pPr>
              <w:rPr>
                <w:b/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F9B483F" w14:textId="55F16932" w:rsidR="00465C9F" w:rsidRDefault="00465C9F" w:rsidP="001B3523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bCs/>
                <w:sz w:val="20"/>
                <w:szCs w:val="20"/>
                <w:lang w:val="cs-CZ"/>
              </w:rPr>
              <w:t>Amprolium</w:t>
            </w:r>
            <w:proofErr w:type="spellEnd"/>
            <w:r>
              <w:rPr>
                <w:bCs/>
                <w:sz w:val="20"/>
                <w:szCs w:val="20"/>
                <w:lang w:val="cs-CZ"/>
              </w:rPr>
              <w:t xml:space="preserve"> hydrochlorid (čistota </w:t>
            </w:r>
            <w:r>
              <w:rPr>
                <w:bCs/>
                <w:sz w:val="20"/>
                <w:szCs w:val="20"/>
                <w:lang w:val="cs-CZ"/>
              </w:rPr>
              <w:br/>
              <w:t xml:space="preserve">˃ </w:t>
            </w:r>
            <w:proofErr w:type="gramStart"/>
            <w:r>
              <w:rPr>
                <w:bCs/>
                <w:sz w:val="20"/>
                <w:szCs w:val="20"/>
                <w:lang w:val="cs-CZ"/>
              </w:rPr>
              <w:t>97,5%</w:t>
            </w:r>
            <w:proofErr w:type="gramEnd"/>
            <w:r>
              <w:rPr>
                <w:bCs/>
                <w:sz w:val="20"/>
                <w:szCs w:val="20"/>
                <w:lang w:val="cs-CZ"/>
              </w:rPr>
              <w:t>)</w:t>
            </w:r>
          </w:p>
          <w:p w14:paraId="295D7523" w14:textId="17A9173C" w:rsidR="00465C9F" w:rsidRDefault="00465C9F" w:rsidP="001B352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14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19</w:t>
            </w:r>
            <w:r>
              <w:rPr>
                <w:bCs/>
                <w:sz w:val="20"/>
                <w:szCs w:val="20"/>
                <w:lang w:val="cs-CZ"/>
              </w:rPr>
              <w:t>ClN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HCl, (1-</w:t>
            </w: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cs-CZ"/>
              </w:rPr>
              <w:t>(4-amino-2-propyl-5-</w:t>
            </w:r>
            <w:proofErr w:type="gramStart"/>
            <w:r>
              <w:rPr>
                <w:bCs/>
                <w:sz w:val="20"/>
                <w:szCs w:val="20"/>
                <w:lang w:val="cs-CZ"/>
              </w:rPr>
              <w:t>pirimidinyl)methyl</w:t>
            </w:r>
            <w:proofErr w:type="gramEnd"/>
            <w:r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  <w:lang w:val="cs-CZ"/>
              </w:rPr>
              <w:t xml:space="preserve">-2-methylpyridinium chlorid </w:t>
            </w:r>
            <w:proofErr w:type="spellStart"/>
            <w:r>
              <w:rPr>
                <w:bCs/>
                <w:sz w:val="20"/>
                <w:szCs w:val="20"/>
                <w:lang w:val="cs-CZ"/>
              </w:rPr>
              <w:t>monohydrochlorid</w:t>
            </w:r>
            <w:proofErr w:type="spellEnd"/>
            <w:r>
              <w:rPr>
                <w:bCs/>
                <w:sz w:val="20"/>
                <w:szCs w:val="20"/>
                <w:lang w:val="cs-CZ"/>
              </w:rPr>
              <w:t>,</w:t>
            </w:r>
          </w:p>
          <w:p w14:paraId="4CED1AA9" w14:textId="04B0C6DF" w:rsidR="00465C9F" w:rsidRDefault="00465C9F" w:rsidP="001B352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137-88-2</w:t>
            </w:r>
          </w:p>
          <w:p w14:paraId="0CCA12C9" w14:textId="6F4D6CCA" w:rsidR="00465C9F" w:rsidRDefault="00465C9F" w:rsidP="001B352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Přidružené nečistoty:</w:t>
            </w:r>
          </w:p>
          <w:p w14:paraId="08537467" w14:textId="565F07C5" w:rsidR="00465C9F" w:rsidRDefault="00465C9F" w:rsidP="001B352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α-pikolin </w:t>
            </w:r>
            <w:proofErr w:type="gramStart"/>
            <w:r>
              <w:rPr>
                <w:bCs/>
                <w:sz w:val="20"/>
                <w:szCs w:val="20"/>
                <w:lang w:val="cs-CZ"/>
              </w:rPr>
              <w:t>&lt; 0</w:t>
            </w:r>
            <w:proofErr w:type="gramEnd"/>
            <w:r>
              <w:rPr>
                <w:bCs/>
                <w:sz w:val="20"/>
                <w:szCs w:val="20"/>
                <w:lang w:val="cs-CZ"/>
              </w:rPr>
              <w:t>,52 %</w:t>
            </w:r>
          </w:p>
          <w:p w14:paraId="720F8FD3" w14:textId="15024BE4" w:rsidR="00465C9F" w:rsidRDefault="00465C9F" w:rsidP="001B352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sulfátový popel ≤ 0,1%</w:t>
            </w:r>
          </w:p>
          <w:p w14:paraId="142636EF" w14:textId="77777777" w:rsidR="00465C9F" w:rsidRPr="00CC6504" w:rsidRDefault="00465C9F" w:rsidP="001B3523">
            <w:pPr>
              <w:rPr>
                <w:bCs/>
                <w:sz w:val="20"/>
                <w:szCs w:val="20"/>
                <w:lang w:val="cs-CZ"/>
              </w:rPr>
            </w:pPr>
          </w:p>
          <w:p w14:paraId="1F9FDFC3" w14:textId="23EF54F7" w:rsidR="00465C9F" w:rsidRPr="00514C9F" w:rsidRDefault="00465C9F" w:rsidP="001B3523">
            <w:pPr>
              <w:rPr>
                <w:b/>
                <w:sz w:val="20"/>
                <w:szCs w:val="20"/>
                <w:lang w:val="cs-CZ"/>
              </w:rPr>
            </w:pPr>
            <w:r w:rsidRPr="00514C9F">
              <w:rPr>
                <w:b/>
                <w:sz w:val="20"/>
                <w:szCs w:val="20"/>
                <w:lang w:val="cs-CZ"/>
              </w:rPr>
              <w:t>Analytická metoda*:</w:t>
            </w:r>
          </w:p>
          <w:p w14:paraId="1ED423A7" w14:textId="7E2D397D" w:rsidR="00465C9F" w:rsidRDefault="00465C9F" w:rsidP="001B352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  <w:lang w:val="cs-CZ"/>
              </w:rPr>
              <w:t>amprolia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53580D49" w14:textId="2DBA148C" w:rsidR="00465C9F" w:rsidRDefault="00465C9F" w:rsidP="001B352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vysokoúčinná kapalinová chromatografie (HPLC) na reverzní fázi s UV detekcí při vlnové délce 268 </w:t>
            </w:r>
            <w:proofErr w:type="spellStart"/>
            <w:r>
              <w:rPr>
                <w:sz w:val="20"/>
                <w:szCs w:val="20"/>
                <w:lang w:val="cs-CZ"/>
              </w:rPr>
              <w:t>nm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(RP-HPLC-UV).</w:t>
            </w:r>
          </w:p>
          <w:p w14:paraId="45AD623B" w14:textId="77777777" w:rsidR="00465C9F" w:rsidRDefault="00465C9F" w:rsidP="001B352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Kvantifikace </w:t>
            </w:r>
            <w:proofErr w:type="spellStart"/>
            <w:r>
              <w:rPr>
                <w:sz w:val="20"/>
                <w:szCs w:val="20"/>
                <w:lang w:val="cs-CZ"/>
              </w:rPr>
              <w:t>amprolia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125BAA4C" w14:textId="4D0C7EF3" w:rsidR="00465C9F" w:rsidRPr="00514C9F" w:rsidRDefault="00465C9F" w:rsidP="001B352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vysokoúčinná kapalinová chromatografie (HPLC) s výměnou kationtů a UV detekcí při vlnové délce 264 </w:t>
            </w:r>
            <w:proofErr w:type="spellStart"/>
            <w:r>
              <w:rPr>
                <w:sz w:val="20"/>
                <w:szCs w:val="20"/>
                <w:lang w:val="cs-CZ"/>
              </w:rPr>
              <w:t>nm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(IE-HPLC-UV) – nařízení (ES) č. 152/2009.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A0F375" w14:textId="78C2F7DB" w:rsidR="00465C9F" w:rsidRPr="00706771" w:rsidRDefault="00465C9F" w:rsidP="001B3523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  <w:r w:rsidR="00B100FB">
              <w:rPr>
                <w:sz w:val="20"/>
                <w:szCs w:val="20"/>
                <w:vertAlign w:val="superscript"/>
                <w:lang w:val="cs-CZ"/>
              </w:rPr>
              <w:t>61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14:paraId="7A06FFE6" w14:textId="77777777" w:rsidR="00465C9F" w:rsidRDefault="00465C9F" w:rsidP="001B3523">
            <w:pPr>
              <w:rPr>
                <w:sz w:val="20"/>
                <w:szCs w:val="20"/>
                <w:lang w:val="cs-CZ"/>
              </w:rPr>
            </w:pPr>
          </w:p>
          <w:p w14:paraId="76A8C523" w14:textId="165E2263" w:rsidR="00465C9F" w:rsidRPr="00B100FB" w:rsidRDefault="00465C9F" w:rsidP="001B3523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Odchod kuřic </w:t>
            </w:r>
            <w:r w:rsidR="00B100FB">
              <w:rPr>
                <w:sz w:val="20"/>
                <w:szCs w:val="20"/>
                <w:vertAlign w:val="superscript"/>
                <w:lang w:val="cs-CZ"/>
              </w:rPr>
              <w:t>61)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39FD6A9" w14:textId="38FE6B4E" w:rsidR="00465C9F" w:rsidRPr="00514C9F" w:rsidRDefault="00465C9F" w:rsidP="001B352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C877F54" w14:textId="2D0F521F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2BD6D1" w14:textId="283F6ED7" w:rsidR="00465C9F" w:rsidRPr="00514C9F" w:rsidRDefault="00465C9F" w:rsidP="001B352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125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ADCFF93" w14:textId="51011600" w:rsidR="00465C9F" w:rsidRPr="00E60B5D" w:rsidRDefault="00465C9F" w:rsidP="001B3523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807DF3">
              <w:rPr>
                <w:sz w:val="20"/>
                <w:szCs w:val="20"/>
                <w:lang w:val="cs-CZ"/>
              </w:rPr>
              <w:t xml:space="preserve">V návodu pro použití doplňkové látky a </w:t>
            </w:r>
            <w:proofErr w:type="spellStart"/>
            <w:r w:rsidR="00807DF3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807DF3">
              <w:rPr>
                <w:sz w:val="20"/>
                <w:szCs w:val="20"/>
                <w:lang w:val="cs-CZ"/>
              </w:rPr>
              <w:t xml:space="preserve"> </w:t>
            </w:r>
            <w:r w:rsidR="00921FC5">
              <w:rPr>
                <w:sz w:val="20"/>
                <w:szCs w:val="20"/>
                <w:lang w:val="cs-CZ"/>
              </w:rPr>
              <w:t>musí být uvedeny podmínky skladování a stabilita při tepelném ošetření</w:t>
            </w:r>
            <w:r w:rsidR="00FC5E06">
              <w:rPr>
                <w:sz w:val="20"/>
                <w:szCs w:val="20"/>
                <w:lang w:val="cs-CZ"/>
              </w:rPr>
              <w:t>.</w:t>
            </w:r>
          </w:p>
          <w:p w14:paraId="5B455064" w14:textId="64738D69" w:rsidR="00465C9F" w:rsidRPr="00514C9F" w:rsidRDefault="00465C9F" w:rsidP="001B3523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Pr="00514C9F">
              <w:rPr>
                <w:sz w:val="20"/>
                <w:szCs w:val="20"/>
                <w:lang w:val="cs-CZ"/>
              </w:rPr>
              <w:t>D</w:t>
            </w:r>
            <w:r>
              <w:rPr>
                <w:sz w:val="20"/>
                <w:szCs w:val="20"/>
                <w:lang w:val="cs-CZ"/>
              </w:rPr>
              <w:t xml:space="preserve">oplňková látka </w:t>
            </w:r>
            <w:r w:rsidRPr="00514C9F">
              <w:rPr>
                <w:sz w:val="20"/>
                <w:szCs w:val="20"/>
                <w:lang w:val="cs-CZ"/>
              </w:rPr>
              <w:t xml:space="preserve">se </w:t>
            </w:r>
            <w:r w:rsidR="00FC5E06">
              <w:rPr>
                <w:sz w:val="20"/>
                <w:szCs w:val="20"/>
                <w:lang w:val="cs-CZ"/>
              </w:rPr>
              <w:t xml:space="preserve">do krmné směsi </w:t>
            </w:r>
            <w:r w:rsidR="0048194F">
              <w:rPr>
                <w:sz w:val="20"/>
                <w:szCs w:val="20"/>
                <w:lang w:val="cs-CZ"/>
              </w:rPr>
              <w:t xml:space="preserve">musí zapracovat ve formě </w:t>
            </w:r>
            <w:proofErr w:type="spellStart"/>
            <w:r w:rsidR="0048194F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="0048194F">
              <w:rPr>
                <w:sz w:val="20"/>
                <w:szCs w:val="20"/>
                <w:lang w:val="cs-CZ"/>
              </w:rPr>
              <w:t>.</w:t>
            </w:r>
          </w:p>
          <w:p w14:paraId="0D29E9B1" w14:textId="279CCCD9" w:rsidR="00465C9F" w:rsidRPr="00514C9F" w:rsidRDefault="00465C9F" w:rsidP="001B3523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10628F">
              <w:rPr>
                <w:sz w:val="20"/>
                <w:szCs w:val="20"/>
                <w:lang w:val="cs-CZ"/>
              </w:rPr>
              <w:t xml:space="preserve">Doplňková látka se nesmí míchat s jinými </w:t>
            </w:r>
            <w:proofErr w:type="spellStart"/>
            <w:r w:rsidR="0010628F">
              <w:rPr>
                <w:sz w:val="20"/>
                <w:szCs w:val="20"/>
                <w:lang w:val="cs-CZ"/>
              </w:rPr>
              <w:t>kokcidiostatiky</w:t>
            </w:r>
            <w:proofErr w:type="spellEnd"/>
            <w:r w:rsidR="0010628F">
              <w:rPr>
                <w:sz w:val="20"/>
                <w:szCs w:val="20"/>
                <w:lang w:val="cs-CZ"/>
              </w:rPr>
              <w:t>.</w:t>
            </w:r>
          </w:p>
          <w:p w14:paraId="1BF6EB38" w14:textId="77777777" w:rsidR="00465C9F" w:rsidRDefault="00465C9F" w:rsidP="001B3523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</w:t>
            </w:r>
            <w:r w:rsidRPr="00514C9F">
              <w:rPr>
                <w:sz w:val="20"/>
                <w:szCs w:val="20"/>
                <w:lang w:val="cs-CZ"/>
              </w:rPr>
              <w:t>Držitel povolení provede program</w:t>
            </w:r>
            <w:r>
              <w:rPr>
                <w:sz w:val="20"/>
                <w:szCs w:val="20"/>
                <w:lang w:val="cs-CZ"/>
              </w:rPr>
              <w:t>y</w:t>
            </w:r>
            <w:r w:rsidRPr="00514C9F">
              <w:rPr>
                <w:sz w:val="20"/>
                <w:szCs w:val="20"/>
                <w:lang w:val="cs-CZ"/>
              </w:rPr>
              <w:t xml:space="preserve"> monitorování po uvedení na </w:t>
            </w:r>
            <w:proofErr w:type="gramStart"/>
            <w:r w:rsidRPr="00514C9F">
              <w:rPr>
                <w:sz w:val="20"/>
                <w:szCs w:val="20"/>
                <w:lang w:val="cs-CZ"/>
              </w:rPr>
              <w:t>trh</w:t>
            </w:r>
            <w:proofErr w:type="gram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pokud jde o:</w:t>
            </w:r>
          </w:p>
          <w:p w14:paraId="6AAA747F" w14:textId="77777777" w:rsidR="00465C9F" w:rsidRDefault="00465C9F" w:rsidP="001B3523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–</w:t>
            </w:r>
            <w:r w:rsidRPr="00514C9F">
              <w:rPr>
                <w:sz w:val="20"/>
                <w:szCs w:val="20"/>
                <w:lang w:val="cs-CZ"/>
              </w:rPr>
              <w:t xml:space="preserve"> odolnost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514C9F">
              <w:rPr>
                <w:sz w:val="20"/>
                <w:szCs w:val="20"/>
                <w:lang w:val="cs-CZ"/>
              </w:rPr>
              <w:t xml:space="preserve">vůči bakteriím a </w:t>
            </w:r>
            <w:proofErr w:type="spellStart"/>
            <w:r w:rsidRPr="00514C9F">
              <w:rPr>
                <w:i/>
                <w:sz w:val="20"/>
                <w:szCs w:val="20"/>
                <w:lang w:val="cs-CZ"/>
              </w:rPr>
              <w:t>Eimeria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C9F">
              <w:rPr>
                <w:sz w:val="20"/>
                <w:szCs w:val="20"/>
                <w:lang w:val="cs-CZ"/>
              </w:rPr>
              <w:t>spp</w:t>
            </w:r>
            <w:proofErr w:type="spellEnd"/>
            <w:r w:rsidRPr="00514C9F">
              <w:rPr>
                <w:sz w:val="20"/>
                <w:szCs w:val="20"/>
                <w:lang w:val="cs-CZ"/>
              </w:rPr>
              <w:t xml:space="preserve">. </w:t>
            </w:r>
          </w:p>
          <w:p w14:paraId="28440BF9" w14:textId="2CB9C5B0" w:rsidR="00465C9F" w:rsidRPr="00514C9F" w:rsidRDefault="00465C9F" w:rsidP="001B3523">
            <w:pPr>
              <w:numPr>
                <w:ilvl w:val="0"/>
                <w:numId w:val="11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</w:t>
            </w:r>
            <w:r w:rsidR="000C373F">
              <w:rPr>
                <w:sz w:val="20"/>
                <w:szCs w:val="20"/>
                <w:lang w:val="cs-CZ"/>
              </w:rPr>
              <w:t>pokožky</w:t>
            </w:r>
            <w:r>
              <w:rPr>
                <w:sz w:val="20"/>
                <w:szCs w:val="20"/>
                <w:lang w:val="cs-CZ"/>
              </w:rPr>
              <w:t xml:space="preserve">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8C0F25" w14:textId="52529E37" w:rsidR="00465C9F" w:rsidRPr="00514C9F" w:rsidRDefault="00E61C85" w:rsidP="001B352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14.12.2031</w:t>
            </w:r>
          </w:p>
        </w:tc>
      </w:tr>
    </w:tbl>
    <w:p w14:paraId="766FBFC2" w14:textId="57C1AA59" w:rsidR="000B72B8" w:rsidRDefault="00607001" w:rsidP="000B72B8">
      <w:r w:rsidRPr="00514C9F">
        <w:rPr>
          <w:sz w:val="20"/>
          <w:szCs w:val="20"/>
          <w:lang w:val="cs-CZ"/>
        </w:rPr>
        <w:t xml:space="preserve">* Podrobné informace o analytických metodách lze získat na internetové stránce referenční laboratoře: </w:t>
      </w:r>
      <w:hyperlink r:id="rId13" w:history="1">
        <w:r w:rsidRPr="00514C9F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3BB10880" w14:textId="77777777" w:rsidR="00B100FB" w:rsidRPr="000C373F" w:rsidRDefault="00B100FB" w:rsidP="000B72B8">
      <w:pPr>
        <w:rPr>
          <w:sz w:val="20"/>
          <w:szCs w:val="20"/>
          <w:lang w:val="cs-CZ"/>
        </w:rPr>
      </w:pPr>
    </w:p>
    <w:p w14:paraId="6B8482C2" w14:textId="77777777" w:rsidR="00E82657" w:rsidRPr="00514C9F" w:rsidRDefault="00E82657" w:rsidP="00E82657">
      <w:pPr>
        <w:rPr>
          <w:lang w:val="cs-CZ"/>
        </w:rPr>
        <w:sectPr w:rsidR="00E82657" w:rsidRPr="00514C9F" w:rsidSect="0049425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418" w:right="1418" w:bottom="1418" w:left="1021" w:header="709" w:footer="709" w:gutter="0"/>
          <w:cols w:space="708"/>
          <w:docGrid w:linePitch="360"/>
        </w:sectPr>
      </w:pPr>
    </w:p>
    <w:p w14:paraId="5599475C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lastRenderedPageBreak/>
        <w:t>1)</w:t>
      </w:r>
      <w:r w:rsidRPr="00514C9F">
        <w:rPr>
          <w:sz w:val="20"/>
          <w:szCs w:val="20"/>
          <w:lang w:val="cs-CZ"/>
        </w:rPr>
        <w:t xml:space="preserve"> Směrnice Komise 91/248 ze 12. dubna 1991 (L 124 z 18.5.1991, s. 1)</w:t>
      </w:r>
    </w:p>
    <w:p w14:paraId="74538124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2)</w:t>
      </w:r>
      <w:r w:rsidRPr="00514C9F">
        <w:rPr>
          <w:sz w:val="20"/>
          <w:szCs w:val="20"/>
          <w:lang w:val="cs-CZ"/>
        </w:rPr>
        <w:t xml:space="preserve"> Nařízení Komise 418/2001 z 1. března 2001 (L 62 ze 2.3.2001, s. 3) </w:t>
      </w:r>
    </w:p>
    <w:p w14:paraId="428E316C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20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http://europa.eu.int/eur-lex/pri/en/oj/dat/2001/l_062/l_06220010302en00030010.pdf</w:t>
        </w:r>
      </w:hyperlink>
    </w:p>
    <w:p w14:paraId="640AD313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3)</w:t>
      </w:r>
      <w:r w:rsidRPr="00514C9F">
        <w:rPr>
          <w:sz w:val="20"/>
          <w:szCs w:val="20"/>
          <w:lang w:val="cs-CZ"/>
        </w:rPr>
        <w:t xml:space="preserve"> Nařízení Komise 937/2001 z 11. května 2001 (L 130 ze 12.5.2001, s. 25)</w:t>
      </w:r>
    </w:p>
    <w:p w14:paraId="0E506DC0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21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http://europa.eu.int/eur-lex/pri/en/oj/dat/2001/l_130/l_13020010512en00250032.pdf</w:t>
        </w:r>
      </w:hyperlink>
    </w:p>
    <w:p w14:paraId="3E8F1D2A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4)</w:t>
      </w:r>
      <w:r w:rsidRPr="00514C9F">
        <w:rPr>
          <w:sz w:val="20"/>
          <w:szCs w:val="20"/>
          <w:lang w:val="cs-CZ"/>
        </w:rPr>
        <w:t xml:space="preserve"> Nařízení Komise 2380/2001 z 5. prosince 2001 (L 321 ze 6.12.2001, s. 18)</w:t>
      </w:r>
    </w:p>
    <w:p w14:paraId="135EB9DD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22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http://europa.eu.int/eur-lex/pri/en/oj/dat/2001/l_321/l_32120011206en00180019.pdf</w:t>
        </w:r>
      </w:hyperlink>
    </w:p>
    <w:p w14:paraId="340D1273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5)</w:t>
      </w:r>
      <w:r w:rsidRPr="00514C9F">
        <w:rPr>
          <w:sz w:val="20"/>
          <w:szCs w:val="20"/>
          <w:lang w:val="cs-CZ"/>
        </w:rPr>
        <w:t xml:space="preserve"> Nařízení Komise 1041/2002 ze 14. června 2002 (L 157 z 15.6.2002, s. 41)</w:t>
      </w:r>
    </w:p>
    <w:p w14:paraId="7489A455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23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http://europa.eu.int/eur-lex/pri/en/oj/dat/2002/l_157/l_15720020615en00410042.pdf</w:t>
        </w:r>
      </w:hyperlink>
    </w:p>
    <w:p w14:paraId="5F7259EC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6)</w:t>
      </w:r>
      <w:r w:rsidRPr="00514C9F">
        <w:rPr>
          <w:sz w:val="20"/>
          <w:szCs w:val="20"/>
          <w:lang w:val="cs-CZ"/>
        </w:rPr>
        <w:t xml:space="preserve"> Nařízení Komise 162/2003 ze 30. ledna 2003 (L 26 ze 31.1.2003, s. 3)</w:t>
      </w:r>
    </w:p>
    <w:p w14:paraId="40F0951E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24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http://europa.eu.int/eur-lex/pri/en/oj/dat/2003/l_026/l_02620030131en00030004.pdf</w:t>
        </w:r>
      </w:hyperlink>
    </w:p>
    <w:p w14:paraId="68956654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7)</w:t>
      </w:r>
      <w:r w:rsidRPr="00514C9F">
        <w:rPr>
          <w:sz w:val="20"/>
          <w:szCs w:val="20"/>
          <w:lang w:val="cs-CZ"/>
        </w:rPr>
        <w:t xml:space="preserve"> Nařízení Komise 1852/2003 z 21. října 2003 (L 271 z 22.10.2003, s. 13)</w:t>
      </w:r>
    </w:p>
    <w:p w14:paraId="46839AD4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25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http://europa.eu.int/eur-lex/pri/en/oj/dat/2003/l_271/l_27120031022en00130014.pdf</w:t>
        </w:r>
      </w:hyperlink>
    </w:p>
    <w:p w14:paraId="41D78996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8)</w:t>
      </w:r>
      <w:r w:rsidRPr="00514C9F">
        <w:rPr>
          <w:sz w:val="20"/>
          <w:szCs w:val="20"/>
          <w:lang w:val="cs-CZ"/>
        </w:rPr>
        <w:t xml:space="preserve"> Nařízení Komise 1289/</w:t>
      </w:r>
      <w:proofErr w:type="gramStart"/>
      <w:r w:rsidRPr="00514C9F">
        <w:rPr>
          <w:sz w:val="20"/>
          <w:szCs w:val="20"/>
          <w:lang w:val="cs-CZ"/>
        </w:rPr>
        <w:t>2004  ze</w:t>
      </w:r>
      <w:proofErr w:type="gramEnd"/>
      <w:r w:rsidRPr="00514C9F">
        <w:rPr>
          <w:sz w:val="20"/>
          <w:szCs w:val="20"/>
          <w:lang w:val="cs-CZ"/>
        </w:rPr>
        <w:t xml:space="preserve"> 14. července 2004 (L 243 z 15.7.2004, s. 15)</w:t>
      </w:r>
    </w:p>
    <w:p w14:paraId="04C61FC7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26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http://europa.eu.int/eur-lex/lex/LexUriServ/site/cs/oj/2004/l_243/l_24320040715cs00150017.pdf</w:t>
        </w:r>
      </w:hyperlink>
    </w:p>
    <w:p w14:paraId="3FBDD86E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9)</w:t>
      </w:r>
      <w:r w:rsidRPr="00514C9F">
        <w:rPr>
          <w:sz w:val="20"/>
          <w:szCs w:val="20"/>
          <w:lang w:val="cs-CZ"/>
        </w:rPr>
        <w:t xml:space="preserve"> Nařízení Komise 1356/2004 z 26. července 2004 (L 251 z 27.7.2004, s. 6)</w:t>
      </w:r>
    </w:p>
    <w:p w14:paraId="7124C435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27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http://europa.eu.int/eur-lex/lex/LexUriServ/site/cs/oj/2004/l_251/l_25120040727cs00060008.pdf</w:t>
        </w:r>
      </w:hyperlink>
    </w:p>
    <w:p w14:paraId="2A8813B3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10)</w:t>
      </w:r>
      <w:r w:rsidRPr="00514C9F">
        <w:rPr>
          <w:sz w:val="20"/>
          <w:szCs w:val="20"/>
          <w:lang w:val="cs-CZ"/>
        </w:rPr>
        <w:t xml:space="preserve"> Nařízení Komise 1455/</w:t>
      </w:r>
      <w:proofErr w:type="gramStart"/>
      <w:r w:rsidRPr="00514C9F">
        <w:rPr>
          <w:sz w:val="20"/>
          <w:szCs w:val="20"/>
          <w:lang w:val="cs-CZ"/>
        </w:rPr>
        <w:t>2004  ze</w:t>
      </w:r>
      <w:proofErr w:type="gramEnd"/>
      <w:r w:rsidRPr="00514C9F">
        <w:rPr>
          <w:sz w:val="20"/>
          <w:szCs w:val="20"/>
          <w:lang w:val="cs-CZ"/>
        </w:rPr>
        <w:t xml:space="preserve"> 16. srpna 2004 (L 269 ze 17.7.2004, s. 14)</w:t>
      </w:r>
    </w:p>
    <w:p w14:paraId="416889FA" w14:textId="77777777" w:rsidR="00E82657" w:rsidRPr="00514C9F" w:rsidRDefault="00000000" w:rsidP="00E82657">
      <w:pPr>
        <w:pStyle w:val="Zpat"/>
        <w:tabs>
          <w:tab w:val="clear" w:pos="4536"/>
          <w:tab w:val="clear" w:pos="9072"/>
        </w:tabs>
        <w:rPr>
          <w:sz w:val="20"/>
          <w:szCs w:val="20"/>
          <w:lang w:val="cs-CZ"/>
        </w:rPr>
      </w:pPr>
      <w:hyperlink r:id="rId28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http://europa.eu.int/eur-lex/lex/LexUriServ/site/cs/oj/2004/l_269/l_26920040817cs00140016.pdf</w:t>
        </w:r>
      </w:hyperlink>
    </w:p>
    <w:p w14:paraId="62820E64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11)</w:t>
      </w:r>
      <w:r w:rsidRPr="00514C9F">
        <w:rPr>
          <w:sz w:val="20"/>
          <w:szCs w:val="20"/>
          <w:lang w:val="cs-CZ"/>
        </w:rPr>
        <w:t xml:space="preserve"> Nařízení Komise 1463/</w:t>
      </w:r>
      <w:proofErr w:type="gramStart"/>
      <w:r w:rsidRPr="00514C9F">
        <w:rPr>
          <w:sz w:val="20"/>
          <w:szCs w:val="20"/>
          <w:lang w:val="cs-CZ"/>
        </w:rPr>
        <w:t>2004  ze</w:t>
      </w:r>
      <w:proofErr w:type="gramEnd"/>
      <w:r w:rsidRPr="00514C9F">
        <w:rPr>
          <w:sz w:val="20"/>
          <w:szCs w:val="20"/>
          <w:lang w:val="cs-CZ"/>
        </w:rPr>
        <w:t xml:space="preserve"> 17. srpna 2004 (L 270 z 18.8.2004, s. 5)</w:t>
      </w:r>
    </w:p>
    <w:p w14:paraId="326EF29D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29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http://europa.eu.int/eur-lex/lex/LexUriServ/site/cs/oj/2004/l_270/l_27020040818cs00050007.pdf</w:t>
        </w:r>
      </w:hyperlink>
    </w:p>
    <w:p w14:paraId="655E342B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12)</w:t>
      </w:r>
      <w:r w:rsidRPr="00514C9F">
        <w:rPr>
          <w:sz w:val="20"/>
          <w:szCs w:val="20"/>
          <w:lang w:val="cs-CZ"/>
        </w:rPr>
        <w:t xml:space="preserve"> Nařízení Komise 1464/</w:t>
      </w:r>
      <w:proofErr w:type="gramStart"/>
      <w:r w:rsidRPr="00514C9F">
        <w:rPr>
          <w:sz w:val="20"/>
          <w:szCs w:val="20"/>
          <w:lang w:val="cs-CZ"/>
        </w:rPr>
        <w:t>2004  ze</w:t>
      </w:r>
      <w:proofErr w:type="gramEnd"/>
      <w:r w:rsidRPr="00514C9F">
        <w:rPr>
          <w:sz w:val="20"/>
          <w:szCs w:val="20"/>
          <w:lang w:val="cs-CZ"/>
        </w:rPr>
        <w:t xml:space="preserve"> 17. srpna 2004 (L 270 z 18.8.2004, s. 8)</w:t>
      </w:r>
    </w:p>
    <w:p w14:paraId="6A044C3B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30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http://europa.eu.int/eur-lex/lex/LexUriServ/site/cs/oj/2004/l_270/l_27020040818cs00080010.pdf</w:t>
        </w:r>
      </w:hyperlink>
    </w:p>
    <w:p w14:paraId="41ED61E1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13)</w:t>
      </w:r>
      <w:r w:rsidRPr="00514C9F">
        <w:rPr>
          <w:sz w:val="20"/>
          <w:szCs w:val="20"/>
          <w:lang w:val="cs-CZ"/>
        </w:rPr>
        <w:t xml:space="preserve"> Nařízení Komise 1800/</w:t>
      </w:r>
      <w:proofErr w:type="gramStart"/>
      <w:r w:rsidRPr="00514C9F">
        <w:rPr>
          <w:sz w:val="20"/>
          <w:szCs w:val="20"/>
          <w:lang w:val="cs-CZ"/>
        </w:rPr>
        <w:t>2004  z</w:t>
      </w:r>
      <w:proofErr w:type="gramEnd"/>
      <w:r w:rsidRPr="00514C9F">
        <w:rPr>
          <w:sz w:val="20"/>
          <w:szCs w:val="20"/>
          <w:lang w:val="cs-CZ"/>
        </w:rPr>
        <w:t> 15. října 2004 (L 317 ze 16.10.2004, s. 37)</w:t>
      </w:r>
    </w:p>
    <w:p w14:paraId="4AD0C489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31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http://europa.eu.int/eur-lex/lex/LexUriServ/site/cs/oj/2004/l_317/l_31720041016cs00370039.pdf</w:t>
        </w:r>
      </w:hyperlink>
    </w:p>
    <w:p w14:paraId="4610A6C4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14)</w:t>
      </w:r>
      <w:r w:rsidRPr="00514C9F">
        <w:rPr>
          <w:sz w:val="20"/>
          <w:szCs w:val="20"/>
          <w:lang w:val="cs-CZ"/>
        </w:rPr>
        <w:t xml:space="preserve"> Nařízení 2430/1999 ze 16. listopadu 1999 (L 296 ze 17.11.1999, s. 3)</w:t>
      </w:r>
    </w:p>
    <w:p w14:paraId="07DA95BB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32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http://europa.eu.int/eur-lex/pri/en/oj/dat/1999/l_296/l_29619991117en00030011.pdf</w:t>
        </w:r>
      </w:hyperlink>
    </w:p>
    <w:p w14:paraId="67AEE951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15)</w:t>
      </w:r>
      <w:r w:rsidRPr="00514C9F">
        <w:rPr>
          <w:sz w:val="20"/>
          <w:szCs w:val="20"/>
          <w:lang w:val="cs-CZ"/>
        </w:rPr>
        <w:t xml:space="preserve"> Nařízení Komise 600/2005 z 18. dubna 2005 (L 99 z 19.4.2005, s. 7)</w:t>
      </w:r>
    </w:p>
    <w:p w14:paraId="3C39C615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33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http://europa.eu.int/eur-lex/lex/LexUriServ/site/cs/oj/2005/l_099/l_09920050419cs00050009.pdf</w:t>
        </w:r>
      </w:hyperlink>
    </w:p>
    <w:p w14:paraId="0F70DE8F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16)</w:t>
      </w:r>
      <w:r w:rsidRPr="00514C9F">
        <w:rPr>
          <w:sz w:val="20"/>
          <w:szCs w:val="20"/>
          <w:lang w:val="cs-CZ"/>
        </w:rPr>
        <w:t xml:space="preserve"> Nařízení Komise 2037/2005 ze 14. prosince 2005 (L 328 z 15.12.2005, s. 21)</w:t>
      </w:r>
    </w:p>
    <w:p w14:paraId="7816E000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34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http://europa.eu.int/eur-lex/lex/LexUriServ/site/cs/oj/2005/l_328/l_32820051215cs00210026.pdf</w:t>
        </w:r>
      </w:hyperlink>
    </w:p>
    <w:p w14:paraId="209C47DA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17)</w:t>
      </w:r>
      <w:r w:rsidRPr="00514C9F">
        <w:rPr>
          <w:sz w:val="20"/>
          <w:szCs w:val="20"/>
          <w:lang w:val="cs-CZ"/>
        </w:rPr>
        <w:t xml:space="preserve"> Nařízení Komise 249/2006 ze 13. února 2006 (L 42 ze 14.2.2006, s. 22)</w:t>
      </w:r>
    </w:p>
    <w:p w14:paraId="267D46BF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35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http://europa.eu.int/eur-lex/lex/LexUriServ/site/cs/oj/2006/l_042/l_04220060214cs00220023.pdf</w:t>
        </w:r>
      </w:hyperlink>
    </w:p>
    <w:p w14:paraId="2F0FCAFB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18)</w:t>
      </w:r>
      <w:r w:rsidRPr="00514C9F">
        <w:rPr>
          <w:szCs w:val="20"/>
          <w:lang w:val="cs-CZ"/>
        </w:rPr>
        <w:t xml:space="preserve"> Nařízení Komise 1443/2006 z 29. září 2006 (L 271 ze 30.9.2006, s. 12)</w:t>
      </w:r>
    </w:p>
    <w:p w14:paraId="0BEABE80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36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http://eur-lex.europa.eu/LexUriServ/site/cs/oj/2006/l_271/l_27120060930cs00120018.pdf</w:t>
        </w:r>
      </w:hyperlink>
    </w:p>
    <w:p w14:paraId="479AFAA2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19)</w:t>
      </w:r>
      <w:r w:rsidRPr="00514C9F">
        <w:rPr>
          <w:szCs w:val="20"/>
          <w:lang w:val="cs-CZ"/>
        </w:rPr>
        <w:t xml:space="preserve"> Nařízení Komise 109/2007 z 5. února 2007 (L 31 ze 6.2.2007, s. 6)</w:t>
      </w:r>
    </w:p>
    <w:p w14:paraId="1F8DF34B" w14:textId="77777777" w:rsidR="00E82657" w:rsidRPr="00514C9F" w:rsidRDefault="00000000" w:rsidP="00E82657">
      <w:pPr>
        <w:ind w:left="180" w:hanging="180"/>
        <w:rPr>
          <w:sz w:val="20"/>
          <w:szCs w:val="20"/>
          <w:lang w:val="cs-CZ"/>
        </w:rPr>
      </w:pPr>
      <w:hyperlink r:id="rId37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http://eur-lex.europa.eu/LexUriServ/LexUriServ.do?uri=OJ:L:2007:031:0006:0008:CS:PDF</w:t>
        </w:r>
      </w:hyperlink>
    </w:p>
    <w:p w14:paraId="23BB40F1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20)</w:t>
      </w:r>
      <w:r w:rsidRPr="00514C9F">
        <w:rPr>
          <w:szCs w:val="20"/>
          <w:lang w:val="cs-CZ"/>
        </w:rPr>
        <w:t xml:space="preserve"> Nařízení Komise 545/2006 z 31. března 2006 (L 94 ze 1.4.2006, s. 27)</w:t>
      </w:r>
    </w:p>
    <w:p w14:paraId="61B715F8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38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http://eur-lex.europa.eu/LexUriServ/site/cs/oj/2006/l_094/l_09420060401cs00260027.pdf</w:t>
        </w:r>
      </w:hyperlink>
    </w:p>
    <w:p w14:paraId="47D2C2AE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lastRenderedPageBreak/>
        <w:t>21)</w:t>
      </w:r>
      <w:r w:rsidRPr="00514C9F">
        <w:rPr>
          <w:sz w:val="20"/>
          <w:szCs w:val="20"/>
          <w:lang w:val="cs-CZ"/>
        </w:rPr>
        <w:t xml:space="preserve"> Nařízení Komise 108/2007 z 5. února 2007 (L 31 ze 6.2.2007, s. 4)</w:t>
      </w:r>
    </w:p>
    <w:p w14:paraId="7B836326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39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http://eur-lex.europa.eu/LexUriServ/LexUriServ.do?uri=OJ:L:2007:031:0004:0005:CS:PDF</w:t>
        </w:r>
      </w:hyperlink>
    </w:p>
    <w:p w14:paraId="7A7FB61E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22)</w:t>
      </w:r>
      <w:r w:rsidRPr="00514C9F">
        <w:rPr>
          <w:sz w:val="20"/>
          <w:szCs w:val="20"/>
          <w:lang w:val="cs-CZ"/>
        </w:rPr>
        <w:t xml:space="preserve"> Nařízení Komise 496/2007 ze 4. května 2007 (L 117 z 5.5.2007, s. 7)</w:t>
      </w:r>
    </w:p>
    <w:p w14:paraId="107A8CEB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40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http://eur-lex.europa.eu/LexUriServ/LexUriServ.do?uri=OJ:L:2007:117:0009:0010:CS:PDF</w:t>
        </w:r>
      </w:hyperlink>
    </w:p>
    <w:p w14:paraId="487CDC20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23)</w:t>
      </w:r>
      <w:r w:rsidRPr="00514C9F">
        <w:rPr>
          <w:sz w:val="20"/>
          <w:szCs w:val="20"/>
          <w:lang w:val="cs-CZ"/>
        </w:rPr>
        <w:t xml:space="preserve"> Nařízení Komise 500/2007 ze 7. května 2007 (L 118 z 8.5.2007, s. 3)</w:t>
      </w:r>
    </w:p>
    <w:p w14:paraId="79159FC6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41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http://eur-lex.europa.eu/LexUriServ/site/cs/oj/2007/l_118/l_11820070508cs00030004.pdf</w:t>
        </w:r>
      </w:hyperlink>
    </w:p>
    <w:p w14:paraId="4D9F5B33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24)</w:t>
      </w:r>
      <w:r w:rsidRPr="00514C9F">
        <w:rPr>
          <w:sz w:val="20"/>
          <w:szCs w:val="20"/>
          <w:lang w:val="cs-CZ"/>
        </w:rPr>
        <w:t xml:space="preserve"> Nařízení Komise 1519/2007 z 19. prosince 2007 (L 335 ze 20.12.2007, s. 15)</w:t>
      </w:r>
    </w:p>
    <w:p w14:paraId="757A9F7F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42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http://eur-lex.europa.eu/LexUriServ/site/cs/oj/2007/l_335/l_33520071220cs00150016.pdf</w:t>
        </w:r>
      </w:hyperlink>
    </w:p>
    <w:p w14:paraId="7C45C185" w14:textId="77777777" w:rsidR="00E82657" w:rsidRPr="00514C9F" w:rsidRDefault="00E82657" w:rsidP="00E82657">
      <w:pPr>
        <w:tabs>
          <w:tab w:val="left" w:pos="10920"/>
        </w:tabs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25)</w:t>
      </w:r>
      <w:r w:rsidRPr="00514C9F">
        <w:rPr>
          <w:sz w:val="20"/>
          <w:szCs w:val="20"/>
          <w:lang w:val="cs-CZ"/>
        </w:rPr>
        <w:t xml:space="preserve"> Nařízení Komise 156/2008 z 21. února 2008 (L 48 z 22. 2. </w:t>
      </w:r>
      <w:proofErr w:type="gramStart"/>
      <w:r w:rsidRPr="00514C9F">
        <w:rPr>
          <w:sz w:val="20"/>
          <w:szCs w:val="20"/>
          <w:lang w:val="cs-CZ"/>
        </w:rPr>
        <w:t>2008 ,</w:t>
      </w:r>
      <w:proofErr w:type="gramEnd"/>
      <w:r w:rsidRPr="00514C9F">
        <w:rPr>
          <w:sz w:val="20"/>
          <w:szCs w:val="20"/>
          <w:lang w:val="cs-CZ"/>
        </w:rPr>
        <w:t xml:space="preserve"> s. 14)</w:t>
      </w:r>
    </w:p>
    <w:p w14:paraId="1B1E0B39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43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http://eur-lex.europa.eu/LexUriServ/LexUriServ.do?uri=OJ:L:2008:048:0014:0015:CS:PDF</w:t>
        </w:r>
      </w:hyperlink>
    </w:p>
    <w:p w14:paraId="6AA13F94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26)</w:t>
      </w:r>
      <w:r w:rsidRPr="00514C9F">
        <w:rPr>
          <w:sz w:val="20"/>
          <w:szCs w:val="20"/>
          <w:lang w:val="cs-CZ"/>
        </w:rPr>
        <w:t xml:space="preserve"> Nařízení Komise 167/2008 z 22. února 2008 (L50 z 23. 2. 2008, s. 14)</w:t>
      </w:r>
    </w:p>
    <w:p w14:paraId="4711019C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44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http://eur-lex.europa.eu/LexUriServ/LexUriServ.do?uri=OJ:L:2008:050:0014:0016:CS:PDF</w:t>
        </w:r>
      </w:hyperlink>
    </w:p>
    <w:p w14:paraId="72778646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27)</w:t>
      </w:r>
      <w:r w:rsidRPr="00514C9F">
        <w:rPr>
          <w:sz w:val="20"/>
          <w:szCs w:val="20"/>
          <w:lang w:val="cs-CZ"/>
        </w:rPr>
        <w:t xml:space="preserve"> Nařízení Komise 552/2008 z 17. června 2008 (L 158 z 18.6.2008, s. 3)</w:t>
      </w:r>
    </w:p>
    <w:p w14:paraId="6E672C01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45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http://eur-lex.europa.eu/LexUriServ/LexUriServ.do?uri=OJ:L:2008:158:0003:0004:CS:PDF</w:t>
        </w:r>
      </w:hyperlink>
    </w:p>
    <w:p w14:paraId="071016E1" w14:textId="77777777" w:rsidR="00E82657" w:rsidRPr="00514C9F" w:rsidRDefault="00E82657" w:rsidP="00E82657">
      <w:pPr>
        <w:pStyle w:val="TextI"/>
        <w:spacing w:before="0" w:after="0"/>
        <w:rPr>
          <w:sz w:val="20"/>
          <w:vertAlign w:val="superscript"/>
        </w:rPr>
      </w:pPr>
      <w:r w:rsidRPr="00514C9F">
        <w:rPr>
          <w:sz w:val="20"/>
          <w:vertAlign w:val="superscript"/>
        </w:rPr>
        <w:t>28)</w:t>
      </w:r>
      <w:r w:rsidRPr="00514C9F">
        <w:rPr>
          <w:sz w:val="20"/>
        </w:rPr>
        <w:t xml:space="preserve"> Nařízení Komise 971/2008 ze 3. října 2008 (L265 ze 4.10.2008, s. 3)</w:t>
      </w:r>
    </w:p>
    <w:p w14:paraId="0F4A7A9A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46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http://eur-lex.europa.eu/LexUriServ/LexUriServ.do?uri=OJ:L:2008:265:0003:0005:CS:PDF</w:t>
        </w:r>
      </w:hyperlink>
    </w:p>
    <w:p w14:paraId="374E16A6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29)</w:t>
      </w:r>
      <w:r w:rsidRPr="00514C9F">
        <w:rPr>
          <w:sz w:val="20"/>
          <w:szCs w:val="20"/>
          <w:lang w:val="cs-CZ"/>
        </w:rPr>
        <w:t xml:space="preserve"> Nařízení Komise 976/2008 ze 6. října 2008 (L266 ze dne 7.10.2008, s 3)</w:t>
      </w:r>
    </w:p>
    <w:p w14:paraId="49C7BAB1" w14:textId="77777777" w:rsidR="00E82657" w:rsidRPr="00514C9F" w:rsidRDefault="00000000" w:rsidP="00E82657">
      <w:pPr>
        <w:pStyle w:val="Textpoznpodarou"/>
        <w:rPr>
          <w:szCs w:val="20"/>
          <w:lang w:val="cs-CZ"/>
        </w:rPr>
      </w:pPr>
      <w:hyperlink r:id="rId47" w:history="1">
        <w:r w:rsidR="00E82657" w:rsidRPr="00514C9F">
          <w:rPr>
            <w:rStyle w:val="Hypertextovodkaz"/>
            <w:szCs w:val="20"/>
            <w:lang w:val="cs-CZ"/>
          </w:rPr>
          <w:t>http://eur-lex.europa.eu/LexUriServ/LexUriServ.do?uri=OJ:L:2008:266:0003:0007:CS:PDF</w:t>
        </w:r>
      </w:hyperlink>
    </w:p>
    <w:p w14:paraId="0E51F0B8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30)</w:t>
      </w:r>
      <w:r w:rsidRPr="00514C9F">
        <w:rPr>
          <w:szCs w:val="20"/>
          <w:lang w:val="cs-CZ"/>
        </w:rPr>
        <w:t xml:space="preserve"> Nařízení Komise 1095/2008 z 6. listopadu 2008 (L 298 ze dne 7.11.2008, s.3)</w:t>
      </w:r>
    </w:p>
    <w:p w14:paraId="788C8334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48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http://eur-lex.europa.eu/LexUriServ/LexUriServ.do?uri=OJ:L:2008:298:0003:0004:CS:PDF</w:t>
        </w:r>
      </w:hyperlink>
    </w:p>
    <w:p w14:paraId="41926338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31)</w:t>
      </w:r>
      <w:r w:rsidRPr="00514C9F">
        <w:rPr>
          <w:szCs w:val="20"/>
          <w:lang w:val="cs-CZ"/>
        </w:rPr>
        <w:t xml:space="preserve"> Nařízení Komise 1096/2008 z 6. listopadu 2008 (L 298 ze dne 7.11.2008, s.5)</w:t>
      </w:r>
    </w:p>
    <w:p w14:paraId="27F5229A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49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http://eur-lex.europa.eu/LexUriServ/LexUriServ.do?uri=OJ:L:2008:298:0005:0006:CS:PDF</w:t>
        </w:r>
      </w:hyperlink>
    </w:p>
    <w:p w14:paraId="023D3DD3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32)</w:t>
      </w:r>
      <w:r w:rsidRPr="00514C9F">
        <w:rPr>
          <w:szCs w:val="20"/>
          <w:lang w:val="cs-CZ"/>
        </w:rPr>
        <w:t xml:space="preserve"> Nařízení Komise 101/2009 ze 3. února 2009 (L 34 ze dne 4.2.2009, s.5)</w:t>
      </w:r>
    </w:p>
    <w:p w14:paraId="02796CE5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50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http://eur-lex.europa.eu/LexUriServ/LexUriServ.do?uri=OJ:L:2009:034:0005:0007:CS:PDF</w:t>
        </w:r>
      </w:hyperlink>
    </w:p>
    <w:p w14:paraId="07534B3D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33)</w:t>
      </w:r>
      <w:r w:rsidRPr="00514C9F">
        <w:rPr>
          <w:szCs w:val="20"/>
          <w:lang w:val="cs-CZ"/>
        </w:rPr>
        <w:t xml:space="preserve"> Nařízení Komise 214/2009 z 18. března 2009 (L 73 ze dne 19.3.2009, s.12)</w:t>
      </w:r>
    </w:p>
    <w:p w14:paraId="217A168F" w14:textId="77777777" w:rsidR="00E82657" w:rsidRPr="00514C9F" w:rsidRDefault="00000000" w:rsidP="00E82657">
      <w:pPr>
        <w:pStyle w:val="Textpoznpodarou"/>
        <w:rPr>
          <w:color w:val="000000"/>
          <w:szCs w:val="20"/>
          <w:lang w:val="cs-CZ"/>
        </w:rPr>
      </w:pPr>
      <w:hyperlink r:id="rId51" w:history="1">
        <w:r w:rsidR="00E82657" w:rsidRPr="00514C9F">
          <w:rPr>
            <w:rStyle w:val="Hypertextovodkaz"/>
            <w:szCs w:val="20"/>
            <w:lang w:val="cs-CZ"/>
          </w:rPr>
          <w:t>http://eur-lex.europa.eu/LexUriServ/LexUriServ.do?uri=OJ:L:2009:073:0012:0016:CS:PDF</w:t>
        </w:r>
      </w:hyperlink>
    </w:p>
    <w:p w14:paraId="63C02F07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  <w:r w:rsidRPr="00514C9F">
        <w:rPr>
          <w:color w:val="000000"/>
          <w:szCs w:val="20"/>
          <w:vertAlign w:val="superscript"/>
          <w:lang w:val="cs-CZ"/>
        </w:rPr>
        <w:t>34)</w:t>
      </w:r>
      <w:r w:rsidRPr="00514C9F">
        <w:rPr>
          <w:color w:val="000000"/>
          <w:szCs w:val="20"/>
          <w:lang w:val="cs-CZ"/>
        </w:rPr>
        <w:t xml:space="preserve"> Nařízení Komise 884/2010 z 7. října 2010 (L 265 ze dne 8.10.2010, s.4)</w:t>
      </w:r>
    </w:p>
    <w:p w14:paraId="5ED90751" w14:textId="77777777" w:rsidR="00E82657" w:rsidRPr="00514C9F" w:rsidRDefault="00000000" w:rsidP="00E82657">
      <w:pPr>
        <w:pStyle w:val="Textpoznpodarou"/>
        <w:rPr>
          <w:color w:val="000000"/>
          <w:szCs w:val="20"/>
          <w:lang w:val="cs-CZ"/>
        </w:rPr>
      </w:pPr>
      <w:hyperlink r:id="rId52" w:history="1">
        <w:r w:rsidR="00E82657" w:rsidRPr="00514C9F">
          <w:rPr>
            <w:rStyle w:val="Hypertextovodkaz"/>
            <w:szCs w:val="20"/>
            <w:lang w:val="cs-CZ"/>
          </w:rPr>
          <w:t>http://eur-lex.europa.eu/LexUriServ/LexUriServ.do?uri=OJ:L:2010:265:0004:0004:CS:PDF</w:t>
        </w:r>
      </w:hyperlink>
    </w:p>
    <w:p w14:paraId="46FA9E38" w14:textId="77777777" w:rsidR="00E82657" w:rsidRPr="00514C9F" w:rsidRDefault="00E82657" w:rsidP="00E82657">
      <w:pPr>
        <w:pStyle w:val="Textpoznpodarou"/>
        <w:rPr>
          <w:color w:val="000000"/>
          <w:szCs w:val="20"/>
          <w:lang w:val="cs-CZ"/>
        </w:rPr>
      </w:pPr>
      <w:r w:rsidRPr="00514C9F">
        <w:rPr>
          <w:color w:val="000000"/>
          <w:szCs w:val="20"/>
          <w:vertAlign w:val="superscript"/>
          <w:lang w:val="cs-CZ"/>
        </w:rPr>
        <w:t>35)</w:t>
      </w:r>
      <w:r w:rsidRPr="00514C9F">
        <w:rPr>
          <w:color w:val="000000"/>
          <w:szCs w:val="20"/>
          <w:lang w:val="cs-CZ"/>
        </w:rPr>
        <w:t xml:space="preserve"> Nařízení Komise 875/2010 z 5. října 2010 (L 263 z 6.10.2010, s.4)</w:t>
      </w:r>
    </w:p>
    <w:p w14:paraId="1794A47C" w14:textId="77777777" w:rsidR="00E82657" w:rsidRPr="00514C9F" w:rsidRDefault="00000000" w:rsidP="00E82657">
      <w:pPr>
        <w:pStyle w:val="Textpoznpodarou"/>
        <w:rPr>
          <w:color w:val="000000"/>
          <w:szCs w:val="20"/>
          <w:lang w:val="cs-CZ"/>
        </w:rPr>
      </w:pPr>
      <w:hyperlink r:id="rId53" w:history="1">
        <w:r w:rsidR="00E82657" w:rsidRPr="00514C9F">
          <w:rPr>
            <w:rStyle w:val="Hypertextovodkaz"/>
            <w:szCs w:val="20"/>
            <w:lang w:val="cs-CZ"/>
          </w:rPr>
          <w:t>http://eur-lex.europa.eu/LexUriServ/LexUriServ.do?uri=OJ:L:2010:263:0004:0006:CS:PDF</w:t>
        </w:r>
      </w:hyperlink>
    </w:p>
    <w:p w14:paraId="3C76F03B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color w:val="000000"/>
          <w:sz w:val="20"/>
          <w:szCs w:val="20"/>
          <w:vertAlign w:val="superscript"/>
          <w:lang w:val="cs-CZ"/>
        </w:rPr>
        <w:t>36)</w:t>
      </w:r>
      <w:r w:rsidRPr="00514C9F">
        <w:rPr>
          <w:color w:val="000000"/>
          <w:sz w:val="20"/>
          <w:szCs w:val="20"/>
          <w:lang w:val="cs-CZ"/>
        </w:rPr>
        <w:t xml:space="preserve"> </w:t>
      </w:r>
      <w:r w:rsidRPr="00514C9F">
        <w:rPr>
          <w:sz w:val="20"/>
          <w:szCs w:val="20"/>
          <w:lang w:val="cs-CZ"/>
        </w:rPr>
        <w:t>Nařízení Komise 874/2010 z 5. října 2010 (L 263 z 6.10.2010, s. 1</w:t>
      </w:r>
    </w:p>
    <w:p w14:paraId="39EAD057" w14:textId="77777777" w:rsidR="00E82657" w:rsidRPr="00514C9F" w:rsidRDefault="00000000" w:rsidP="00E82657">
      <w:pPr>
        <w:pStyle w:val="Textpoznpodarou"/>
        <w:rPr>
          <w:szCs w:val="20"/>
          <w:lang w:val="cs-CZ"/>
        </w:rPr>
      </w:pPr>
      <w:hyperlink r:id="rId54" w:history="1">
        <w:r w:rsidR="00E82657" w:rsidRPr="00514C9F">
          <w:rPr>
            <w:rStyle w:val="Hypertextovodkaz"/>
            <w:szCs w:val="20"/>
            <w:lang w:val="cs-CZ"/>
          </w:rPr>
          <w:t>http://eur-lex.europa.eu/LexUriServ/LexUriServ.do?uri=OJ:L:2010:263:0001:0003:CS:PDF</w:t>
        </w:r>
      </w:hyperlink>
    </w:p>
    <w:p w14:paraId="00476955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color w:val="000000"/>
          <w:sz w:val="20"/>
          <w:szCs w:val="20"/>
          <w:vertAlign w:val="superscript"/>
          <w:lang w:val="cs-CZ"/>
        </w:rPr>
        <w:t>37)</w:t>
      </w:r>
      <w:r w:rsidRPr="00514C9F">
        <w:rPr>
          <w:sz w:val="20"/>
          <w:szCs w:val="20"/>
          <w:lang w:val="cs-CZ"/>
        </w:rPr>
        <w:t xml:space="preserve"> Nařízení Komise 885/2010 z 7. října 2010 (L 265 z 8.10.2010, s. 5)</w:t>
      </w:r>
    </w:p>
    <w:p w14:paraId="4EA09F8B" w14:textId="77777777" w:rsidR="00E82657" w:rsidRPr="00514C9F" w:rsidRDefault="00000000" w:rsidP="00E82657">
      <w:pPr>
        <w:pStyle w:val="Textpoznpodarou"/>
        <w:rPr>
          <w:szCs w:val="20"/>
          <w:lang w:val="cs-CZ"/>
        </w:rPr>
      </w:pPr>
      <w:hyperlink r:id="rId55" w:history="1">
        <w:r w:rsidR="00E82657" w:rsidRPr="00514C9F">
          <w:rPr>
            <w:rStyle w:val="Hypertextovodkaz"/>
            <w:szCs w:val="20"/>
            <w:lang w:val="cs-CZ"/>
          </w:rPr>
          <w:t>http://eur-lex.europa.eu/LexUriServ/LexUriServ.do?uri=OJ:L:2010:265:0005:0008:CS:PDF</w:t>
        </w:r>
      </w:hyperlink>
    </w:p>
    <w:p w14:paraId="03158426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color w:val="000000"/>
          <w:sz w:val="20"/>
          <w:szCs w:val="20"/>
          <w:vertAlign w:val="superscript"/>
          <w:lang w:val="cs-CZ"/>
        </w:rPr>
        <w:t>38)</w:t>
      </w:r>
      <w:r w:rsidRPr="00514C9F">
        <w:rPr>
          <w:sz w:val="20"/>
          <w:szCs w:val="20"/>
          <w:vertAlign w:val="superscript"/>
          <w:lang w:val="cs-CZ"/>
        </w:rPr>
        <w:t xml:space="preserve"> </w:t>
      </w:r>
      <w:r w:rsidRPr="00514C9F">
        <w:rPr>
          <w:sz w:val="20"/>
          <w:szCs w:val="20"/>
          <w:lang w:val="cs-CZ"/>
        </w:rPr>
        <w:t>Nařízení Komise 1118/2010 z 2. prosince 2010 (L 317 z 3.12.2010, s. 5)</w:t>
      </w:r>
    </w:p>
    <w:p w14:paraId="6B7B4FD6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56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http://eur-lex.europa.eu/LexUriServ/LexUriServ.do?uri=OJ:L:2010:317:0005:0008:CS:PDF</w:t>
        </w:r>
      </w:hyperlink>
    </w:p>
    <w:p w14:paraId="74B2C11F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39)</w:t>
      </w:r>
      <w:r w:rsidRPr="00514C9F">
        <w:rPr>
          <w:sz w:val="20"/>
          <w:szCs w:val="20"/>
          <w:lang w:val="cs-CZ"/>
        </w:rPr>
        <w:t xml:space="preserve"> Nařízení Komise 169/2011 z 23. února 2011 (L 49 z 24.2.2011, s. 6)</w:t>
      </w:r>
    </w:p>
    <w:p w14:paraId="08A7C743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57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http://eur-lex.europa.eu/LexUriServ/LexUriServ.do?uri=OJ:L:2011:049:0006:0007:CS:PDF</w:t>
        </w:r>
      </w:hyperlink>
    </w:p>
    <w:p w14:paraId="279418B4" w14:textId="77777777" w:rsidR="00E82657" w:rsidRPr="00514C9F" w:rsidRDefault="00E82657" w:rsidP="00E82657">
      <w:pPr>
        <w:rPr>
          <w:sz w:val="20"/>
          <w:szCs w:val="20"/>
          <w:lang w:val="cs-CZ"/>
        </w:rPr>
      </w:pPr>
    </w:p>
    <w:p w14:paraId="7784702D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lastRenderedPageBreak/>
        <w:t>40)</w:t>
      </w:r>
      <w:r w:rsidRPr="00514C9F">
        <w:rPr>
          <w:sz w:val="20"/>
          <w:szCs w:val="20"/>
          <w:lang w:val="cs-CZ"/>
        </w:rPr>
        <w:t xml:space="preserve"> Nařízení Komise 388/2011 z 19. dubna 2011 (L 104 z 20.4.2011, s. 3)</w:t>
      </w:r>
    </w:p>
    <w:p w14:paraId="2ED076CB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58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http://eur-lex.europa.eu/LexUriServ/LexUriServ.do?uri=OJ:L:2011:104:0003:0006:CS:PDF</w:t>
        </w:r>
      </w:hyperlink>
    </w:p>
    <w:p w14:paraId="0E6A1ABF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41)</w:t>
      </w:r>
      <w:r w:rsidRPr="00514C9F">
        <w:rPr>
          <w:szCs w:val="20"/>
          <w:lang w:val="cs-CZ"/>
        </w:rPr>
        <w:t xml:space="preserve"> </w:t>
      </w:r>
      <w:r w:rsidRPr="00514C9F">
        <w:rPr>
          <w:color w:val="000000"/>
          <w:szCs w:val="20"/>
          <w:lang w:val="cs-CZ"/>
        </w:rPr>
        <w:t>N</w:t>
      </w:r>
      <w:r w:rsidRPr="00514C9F">
        <w:rPr>
          <w:szCs w:val="20"/>
          <w:lang w:val="cs-CZ"/>
        </w:rPr>
        <w:t>ařízení Komise 406/2011 z 27. dubna 2011 (L108 z 28.4.2011, s. 11)</w:t>
      </w:r>
    </w:p>
    <w:p w14:paraId="1790D26D" w14:textId="77777777" w:rsidR="00E82657" w:rsidRPr="00514C9F" w:rsidRDefault="00000000" w:rsidP="00E82657">
      <w:pPr>
        <w:rPr>
          <w:rStyle w:val="Hypertextovodkaz"/>
          <w:sz w:val="20"/>
          <w:szCs w:val="20"/>
          <w:lang w:val="cs-CZ"/>
        </w:rPr>
      </w:pPr>
      <w:hyperlink r:id="rId59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http://eur-lex.europa.eu/LexUriServ/LexUriServ.do?uri=OJ:L:2011:108:0011:0012:CS:PDF</w:t>
        </w:r>
      </w:hyperlink>
    </w:p>
    <w:p w14:paraId="29E56C8D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42)</w:t>
      </w:r>
      <w:r w:rsidRPr="00514C9F">
        <w:rPr>
          <w:sz w:val="20"/>
          <w:szCs w:val="20"/>
          <w:lang w:val="cs-CZ"/>
        </w:rPr>
        <w:t xml:space="preserve"> Nařízení Komise 495/2011 z 20. května 2011 (L 134 z 21.5.2011, s. 6)</w:t>
      </w:r>
    </w:p>
    <w:p w14:paraId="6182259A" w14:textId="77777777" w:rsidR="00E82657" w:rsidRPr="00514C9F" w:rsidRDefault="00000000" w:rsidP="00E82657">
      <w:pPr>
        <w:pStyle w:val="Textpoznpodarou"/>
        <w:rPr>
          <w:szCs w:val="20"/>
          <w:lang w:val="cs-CZ"/>
        </w:rPr>
      </w:pPr>
      <w:hyperlink r:id="rId60" w:history="1">
        <w:r w:rsidR="00E82657" w:rsidRPr="00514C9F">
          <w:rPr>
            <w:rStyle w:val="Hypertextovodkaz"/>
            <w:szCs w:val="20"/>
            <w:lang w:val="cs-CZ"/>
          </w:rPr>
          <w:t>http://eur-lex.europa.eu/LexUriServ/LexUriServ.do?uri=OJ:L:2011:134:0006:0008:CS:PDF</w:t>
        </w:r>
      </w:hyperlink>
    </w:p>
    <w:p w14:paraId="58E9709E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43)</w:t>
      </w:r>
      <w:r w:rsidRPr="00514C9F">
        <w:rPr>
          <w:szCs w:val="20"/>
          <w:lang w:val="cs-CZ"/>
        </w:rPr>
        <w:t xml:space="preserve"> Nařízení Komise 532/2011 z 31. května 2011 (L146 z 1.6.2011, s. 7)</w:t>
      </w:r>
    </w:p>
    <w:p w14:paraId="0E9237EA" w14:textId="77777777" w:rsidR="00E82657" w:rsidRPr="00514C9F" w:rsidRDefault="00000000" w:rsidP="00E82657">
      <w:pPr>
        <w:pStyle w:val="Textpoznpodarou"/>
        <w:rPr>
          <w:szCs w:val="20"/>
          <w:lang w:val="cs-CZ"/>
        </w:rPr>
      </w:pPr>
      <w:hyperlink r:id="rId61" w:history="1">
        <w:r w:rsidR="00E82657" w:rsidRPr="00514C9F">
          <w:rPr>
            <w:rStyle w:val="Hypertextovodkaz"/>
            <w:szCs w:val="20"/>
            <w:lang w:val="cs-CZ"/>
          </w:rPr>
          <w:t>http://eur-lex.europa.eu/LexUriServ/LexUriServ.do?uri=OJ:L:2011:146:0007:0010:CS:PDF</w:t>
        </w:r>
      </w:hyperlink>
    </w:p>
    <w:p w14:paraId="1A77CFAC" w14:textId="77777777" w:rsidR="00E82657" w:rsidRPr="00514C9F" w:rsidRDefault="00E82657" w:rsidP="00E82657">
      <w:pPr>
        <w:pStyle w:val="Textpoznpodarou"/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44)</w:t>
      </w:r>
      <w:r w:rsidRPr="00514C9F">
        <w:rPr>
          <w:szCs w:val="20"/>
          <w:lang w:val="cs-CZ"/>
        </w:rPr>
        <w:t xml:space="preserve"> Nařízení Komise 532/2011 z 31. května 2011 (L146 z 1.6.2011, s. 7)</w:t>
      </w:r>
    </w:p>
    <w:p w14:paraId="0166ADCA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62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http://eur-lex.europa.eu/LexUriServ/LexUriServ.do?uri=OJ:L:2011:146:0007:0010:CS:PDF</w:t>
        </w:r>
      </w:hyperlink>
    </w:p>
    <w:p w14:paraId="5B25C99D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45)</w:t>
      </w:r>
      <w:r w:rsidRPr="00514C9F">
        <w:rPr>
          <w:sz w:val="20"/>
          <w:szCs w:val="20"/>
          <w:lang w:val="cs-CZ"/>
        </w:rPr>
        <w:t xml:space="preserve"> Nařízení Komise 888/2011 z 5.9.2011 (L 229 z 6.9.2011, s. 9)</w:t>
      </w:r>
    </w:p>
    <w:p w14:paraId="53B484D2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63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http://eur-lex.europa.eu/LexUriServ/LexUriServ.do?uri=OJ:L:2011:229:0009:0011:CS:PDF</w:t>
        </w:r>
      </w:hyperlink>
    </w:p>
    <w:p w14:paraId="4F584A19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46)</w:t>
      </w:r>
      <w:r w:rsidRPr="00514C9F">
        <w:rPr>
          <w:sz w:val="20"/>
          <w:szCs w:val="20"/>
          <w:lang w:val="cs-CZ"/>
        </w:rPr>
        <w:t xml:space="preserve"> Nařízení Komise 900/2011 z 7.9.2011 (L 231 z 8.9.2011, s. 15)</w:t>
      </w:r>
    </w:p>
    <w:p w14:paraId="091F8ACF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64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http://eur-lex.europa.eu/LexUriServ/LexUriServ.do?uri=OJ:L:2011:231:0015:0016:CS:PDF</w:t>
        </w:r>
      </w:hyperlink>
    </w:p>
    <w:p w14:paraId="1A1CE5FE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47)</w:t>
      </w:r>
      <w:r w:rsidRPr="00514C9F">
        <w:rPr>
          <w:sz w:val="20"/>
          <w:szCs w:val="20"/>
          <w:lang w:val="cs-CZ"/>
        </w:rPr>
        <w:t xml:space="preserve"> Nařízení Komise 140/2012 z 17. února 2012 (L 47 z 18.2.2012, s. 18)</w:t>
      </w:r>
    </w:p>
    <w:p w14:paraId="61AFFCFD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65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http://eur-lex.europa.eu/LexUriServ/LexUriServ.do?uri=OJ:L:2012:047:0018:0019:CS:PDF</w:t>
        </w:r>
      </w:hyperlink>
    </w:p>
    <w:p w14:paraId="37896D32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48)</w:t>
      </w:r>
      <w:r w:rsidRPr="00514C9F">
        <w:rPr>
          <w:sz w:val="20"/>
          <w:szCs w:val="20"/>
          <w:lang w:val="cs-CZ"/>
        </w:rPr>
        <w:t xml:space="preserve"> Nařízení Komise 118/2012 z 10. února 2012 (L 38 z 11.2.2012, s. 36)</w:t>
      </w:r>
    </w:p>
    <w:p w14:paraId="2E2EF799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66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http://eur-lex.europa.eu/LexUriServ/LexUriServ.do?uri=OJ:L:2012:038:0036:0039:CS:PDF</w:t>
        </w:r>
      </w:hyperlink>
    </w:p>
    <w:p w14:paraId="5ADD79A7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49)</w:t>
      </w:r>
      <w:r w:rsidRPr="00514C9F">
        <w:rPr>
          <w:sz w:val="20"/>
          <w:szCs w:val="20"/>
          <w:lang w:val="cs-CZ"/>
        </w:rPr>
        <w:t xml:space="preserve"> Nařízení Komise 160/2013 z 21. února 2013 (L 49 z 22.2.2013. s. 50)</w:t>
      </w:r>
    </w:p>
    <w:p w14:paraId="7D90EA09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67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http://eur-lex.europa.eu/LexUriServ/LexUriServ.do?uri=OJ:L:2013:049:0050:0051:CS:PDF</w:t>
        </w:r>
      </w:hyperlink>
    </w:p>
    <w:p w14:paraId="3B6F4A77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50)</w:t>
      </w:r>
      <w:r w:rsidRPr="00514C9F">
        <w:rPr>
          <w:sz w:val="20"/>
          <w:szCs w:val="20"/>
          <w:lang w:val="cs-CZ"/>
        </w:rPr>
        <w:t xml:space="preserve"> Nařízení Komise 667/2013 z 12. července 2013 (L 192 z 13.7.2013, s. 35)</w:t>
      </w:r>
    </w:p>
    <w:p w14:paraId="37887FFD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68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http://eur-lex.europa.eu/LexUriServ/LexUriServ.do?uri=OJ:L:2013:192:0035:0038:CS:PDF</w:t>
        </w:r>
      </w:hyperlink>
    </w:p>
    <w:p w14:paraId="0AA2CEB3" w14:textId="77777777" w:rsidR="00E82657" w:rsidRPr="00514C9F" w:rsidRDefault="00E82657" w:rsidP="00E82657">
      <w:pPr>
        <w:pStyle w:val="Textpoznpodarou"/>
        <w:tabs>
          <w:tab w:val="left" w:pos="5389"/>
        </w:tabs>
        <w:rPr>
          <w:szCs w:val="20"/>
          <w:lang w:val="cs-CZ"/>
        </w:rPr>
      </w:pPr>
      <w:r w:rsidRPr="00514C9F">
        <w:rPr>
          <w:szCs w:val="20"/>
          <w:vertAlign w:val="superscript"/>
          <w:lang w:val="cs-CZ"/>
        </w:rPr>
        <w:t>51)</w:t>
      </w:r>
      <w:r w:rsidRPr="00514C9F">
        <w:rPr>
          <w:szCs w:val="20"/>
          <w:lang w:val="cs-CZ"/>
        </w:rPr>
        <w:t xml:space="preserve"> Nařízení Komise 1014/2013 z 22. října 2013 (L 281 z 23.10.2013, s. 1)</w:t>
      </w:r>
    </w:p>
    <w:p w14:paraId="22E06EF0" w14:textId="77777777" w:rsidR="00E82657" w:rsidRPr="00514C9F" w:rsidRDefault="00000000" w:rsidP="00E82657">
      <w:pPr>
        <w:pStyle w:val="Textpoznpodarou"/>
        <w:tabs>
          <w:tab w:val="left" w:pos="5389"/>
        </w:tabs>
        <w:rPr>
          <w:szCs w:val="20"/>
          <w:lang w:val="cs-CZ"/>
        </w:rPr>
      </w:pPr>
      <w:hyperlink r:id="rId69" w:history="1">
        <w:r w:rsidR="00E82657" w:rsidRPr="00514C9F">
          <w:rPr>
            <w:rStyle w:val="Hypertextovodkaz"/>
            <w:szCs w:val="20"/>
            <w:lang w:val="cs-CZ"/>
          </w:rPr>
          <w:t>http://eur-lex.europa.eu/LexUriServ/LexUriServ.do?uri=OJ:L:2013:281:0001:0003:CS:PDF</w:t>
        </w:r>
      </w:hyperlink>
    </w:p>
    <w:p w14:paraId="170CB2B9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52)</w:t>
      </w:r>
      <w:r w:rsidRPr="00514C9F">
        <w:rPr>
          <w:sz w:val="20"/>
          <w:szCs w:val="20"/>
          <w:lang w:val="cs-CZ"/>
        </w:rPr>
        <w:t xml:space="preserve"> Nařízení Komise 291/2014 z 21. března 2014 (L 87 z 22.3.2014, s. 87)</w:t>
      </w:r>
    </w:p>
    <w:p w14:paraId="5D312C43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70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http://eur-lex.europa.eu/legal-content/CS/TXT/PDF/?uri=CELEX:32014R0291&amp;qid=1396959396302&amp;from=CS</w:t>
        </w:r>
      </w:hyperlink>
    </w:p>
    <w:p w14:paraId="427BE400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53)</w:t>
      </w:r>
      <w:r w:rsidRPr="00514C9F">
        <w:rPr>
          <w:sz w:val="20"/>
          <w:szCs w:val="20"/>
          <w:lang w:val="cs-CZ"/>
        </w:rPr>
        <w:t xml:space="preserve"> Nařízení Komise 2015/46 z 14. ledna 2015 (L 9 z 15.1.2015, s. 5)</w:t>
      </w:r>
    </w:p>
    <w:p w14:paraId="25E6AFCA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71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http://eur-lex.europa.eu/legal-content/CS/TXT/PDF/?uri=CELEX:32015R0046&amp;rid=2</w:t>
        </w:r>
      </w:hyperlink>
    </w:p>
    <w:p w14:paraId="1DF29F6B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54)</w:t>
      </w:r>
      <w:r w:rsidRPr="00514C9F">
        <w:rPr>
          <w:sz w:val="20"/>
          <w:szCs w:val="20"/>
          <w:lang w:val="cs-CZ"/>
        </w:rPr>
        <w:t xml:space="preserve"> Nařízení Komise 2015/1417 z 20. srpna 2015 (L 220 z 21.8.2015, s. 15)</w:t>
      </w:r>
    </w:p>
    <w:p w14:paraId="7FDA86D6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72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http://eur-lex.europa.eu/legal-content/CS/TXT/PDF/?uri=CELEX:32015R1417&amp;rid=1</w:t>
        </w:r>
      </w:hyperlink>
    </w:p>
    <w:p w14:paraId="7D73BE11" w14:textId="77777777" w:rsidR="00E82657" w:rsidRPr="00514C9F" w:rsidRDefault="00E82657" w:rsidP="00E82657">
      <w:pPr>
        <w:rPr>
          <w:sz w:val="20"/>
          <w:szCs w:val="20"/>
          <w:lang w:val="cs-CZ"/>
        </w:rPr>
      </w:pPr>
      <w:r w:rsidRPr="00514C9F">
        <w:rPr>
          <w:sz w:val="20"/>
          <w:szCs w:val="20"/>
          <w:vertAlign w:val="superscript"/>
          <w:lang w:val="cs-CZ"/>
        </w:rPr>
        <w:t>55)</w:t>
      </w:r>
      <w:r w:rsidRPr="00514C9F">
        <w:rPr>
          <w:sz w:val="20"/>
          <w:szCs w:val="20"/>
          <w:lang w:val="cs-CZ"/>
        </w:rPr>
        <w:t xml:space="preserve"> Nařízení Komise 2016/842 z 27. května 2016 (L 141 z 28.5.2016, s. 47)</w:t>
      </w:r>
    </w:p>
    <w:p w14:paraId="5C4F9BF8" w14:textId="77777777" w:rsidR="00E82657" w:rsidRPr="00514C9F" w:rsidRDefault="00000000" w:rsidP="00E82657">
      <w:pPr>
        <w:rPr>
          <w:sz w:val="20"/>
          <w:szCs w:val="20"/>
          <w:lang w:val="cs-CZ"/>
        </w:rPr>
      </w:pPr>
      <w:hyperlink r:id="rId73" w:history="1">
        <w:r w:rsidR="00E82657" w:rsidRPr="00514C9F">
          <w:rPr>
            <w:rStyle w:val="Hypertextovodkaz"/>
            <w:sz w:val="20"/>
            <w:szCs w:val="20"/>
            <w:lang w:val="cs-CZ"/>
          </w:rPr>
          <w:t>http://eur-lex.europa.eu/legal-content/CS/TXT/PDF/?uri=CELEX:32016R0842&amp;rid=1</w:t>
        </w:r>
      </w:hyperlink>
    </w:p>
    <w:p w14:paraId="751F546E" w14:textId="77777777" w:rsidR="00E82657" w:rsidRDefault="00514C9F" w:rsidP="00E82657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56)</w:t>
      </w:r>
      <w:r>
        <w:rPr>
          <w:sz w:val="20"/>
          <w:szCs w:val="20"/>
          <w:lang w:val="cs-CZ"/>
        </w:rPr>
        <w:t xml:space="preserve"> Nařízení Komise 2017/1914 z 19. října 2017 (L 271 z 20.10.2017, s. 1)</w:t>
      </w:r>
    </w:p>
    <w:p w14:paraId="4DF6E9E9" w14:textId="77777777" w:rsidR="00514C9F" w:rsidRDefault="00000000" w:rsidP="00E82657">
      <w:pPr>
        <w:rPr>
          <w:sz w:val="20"/>
          <w:szCs w:val="20"/>
          <w:lang w:val="cs-CZ"/>
        </w:rPr>
      </w:pPr>
      <w:hyperlink r:id="rId74" w:history="1">
        <w:r w:rsidR="00514C9F" w:rsidRPr="0088015E">
          <w:rPr>
            <w:rStyle w:val="Hypertextovodkaz"/>
            <w:sz w:val="20"/>
            <w:szCs w:val="20"/>
            <w:lang w:val="cs-CZ"/>
          </w:rPr>
          <w:t>http://eur-lex.europa.eu/legal-content/CS/TXT/PDF/?uri=CELEX:32017R1914&amp;rid=1</w:t>
        </w:r>
      </w:hyperlink>
    </w:p>
    <w:p w14:paraId="1478637E" w14:textId="77777777" w:rsidR="00C91AA8" w:rsidRDefault="00C91AA8" w:rsidP="00C91AA8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57)</w:t>
      </w:r>
      <w:r>
        <w:rPr>
          <w:sz w:val="20"/>
          <w:szCs w:val="20"/>
          <w:lang w:val="cs-CZ"/>
        </w:rPr>
        <w:t xml:space="preserve"> Nařízení Komise 2018/1957 z 11. prosince</w:t>
      </w:r>
      <w:r w:rsidR="00315EB6">
        <w:rPr>
          <w:sz w:val="20"/>
          <w:szCs w:val="20"/>
          <w:lang w:val="cs-CZ"/>
        </w:rPr>
        <w:t xml:space="preserve"> 2018</w:t>
      </w:r>
      <w:r>
        <w:rPr>
          <w:sz w:val="20"/>
          <w:szCs w:val="20"/>
          <w:lang w:val="cs-CZ"/>
        </w:rPr>
        <w:t xml:space="preserve"> (L 315 z 12.12.2018, s. 23)</w:t>
      </w:r>
    </w:p>
    <w:p w14:paraId="698D9610" w14:textId="77777777" w:rsidR="00C91AA8" w:rsidRDefault="00000000" w:rsidP="00C91AA8">
      <w:pPr>
        <w:rPr>
          <w:sz w:val="20"/>
          <w:szCs w:val="20"/>
          <w:lang w:val="cs-CZ"/>
        </w:rPr>
      </w:pPr>
      <w:hyperlink r:id="rId75" w:history="1">
        <w:r w:rsidR="00C91AA8" w:rsidRPr="00270CA6">
          <w:rPr>
            <w:rStyle w:val="Hypertextovodkaz"/>
            <w:sz w:val="20"/>
            <w:szCs w:val="20"/>
            <w:lang w:val="cs-CZ"/>
          </w:rPr>
          <w:t>https://eur-lex.europa.eu/legal-content/CS/TXT/PDF/?uri=CELEX:32018R1957&amp;qid=1548076425900&amp;from=CS</w:t>
        </w:r>
      </w:hyperlink>
    </w:p>
    <w:p w14:paraId="77C2D3FA" w14:textId="77777777" w:rsidR="00514C9F" w:rsidRDefault="00457776" w:rsidP="00E82657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58)</w:t>
      </w:r>
      <w:r>
        <w:rPr>
          <w:sz w:val="20"/>
          <w:szCs w:val="20"/>
          <w:lang w:val="cs-CZ"/>
        </w:rPr>
        <w:t xml:space="preserve"> Nařízení Komise 2019/138 z 29. ledna</w:t>
      </w:r>
      <w:r w:rsidR="00315EB6">
        <w:rPr>
          <w:sz w:val="20"/>
          <w:szCs w:val="20"/>
          <w:lang w:val="cs-CZ"/>
        </w:rPr>
        <w:t xml:space="preserve"> 2019</w:t>
      </w:r>
      <w:r>
        <w:rPr>
          <w:sz w:val="20"/>
          <w:szCs w:val="20"/>
          <w:lang w:val="cs-CZ"/>
        </w:rPr>
        <w:t xml:space="preserve"> (L 26 z 30.1.2019, s. 1)</w:t>
      </w:r>
    </w:p>
    <w:p w14:paraId="084B1ACE" w14:textId="77777777" w:rsidR="00457776" w:rsidRDefault="00000000" w:rsidP="00E82657">
      <w:pPr>
        <w:rPr>
          <w:sz w:val="20"/>
          <w:szCs w:val="20"/>
          <w:lang w:val="cs-CZ"/>
        </w:rPr>
      </w:pPr>
      <w:hyperlink r:id="rId76" w:history="1">
        <w:r w:rsidR="00457776" w:rsidRPr="00142711">
          <w:rPr>
            <w:rStyle w:val="Hypertextovodkaz"/>
            <w:sz w:val="20"/>
            <w:szCs w:val="20"/>
            <w:lang w:val="cs-CZ"/>
          </w:rPr>
          <w:t>https://eur-lex.europa.eu/legal-content/CS/TXT/PDF/?uri=CELEX:32019R0138&amp;qid=1549890094960&amp;from=CS</w:t>
        </w:r>
      </w:hyperlink>
    </w:p>
    <w:p w14:paraId="0A03427B" w14:textId="77777777" w:rsidR="00B257DB" w:rsidRDefault="00B257DB" w:rsidP="00E82657">
      <w:pPr>
        <w:rPr>
          <w:sz w:val="20"/>
          <w:szCs w:val="20"/>
          <w:vertAlign w:val="superscript"/>
          <w:lang w:val="cs-CZ"/>
        </w:rPr>
      </w:pPr>
    </w:p>
    <w:p w14:paraId="4450036A" w14:textId="19C7332F" w:rsidR="00457776" w:rsidRDefault="00086ADA" w:rsidP="00E82657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lastRenderedPageBreak/>
        <w:t>59)</w:t>
      </w:r>
      <w:r w:rsidR="00FE45C8">
        <w:rPr>
          <w:sz w:val="20"/>
          <w:szCs w:val="20"/>
          <w:lang w:val="cs-CZ"/>
        </w:rPr>
        <w:t xml:space="preserve"> Nařízení Komise 2020/148 z 3. února 2020 (</w:t>
      </w:r>
      <w:r w:rsidR="0052168E">
        <w:rPr>
          <w:sz w:val="20"/>
          <w:szCs w:val="20"/>
          <w:lang w:val="cs-CZ"/>
        </w:rPr>
        <w:t>L 33 z 5.2.2020, s. 1)</w:t>
      </w:r>
    </w:p>
    <w:p w14:paraId="653A3BFB" w14:textId="5EB05998" w:rsidR="0052168E" w:rsidRDefault="00000000" w:rsidP="00E82657">
      <w:pPr>
        <w:rPr>
          <w:sz w:val="20"/>
          <w:szCs w:val="20"/>
        </w:rPr>
      </w:pPr>
      <w:hyperlink r:id="rId77" w:history="1">
        <w:r w:rsidR="00B257DB" w:rsidRPr="00B257DB">
          <w:rPr>
            <w:rStyle w:val="Hypertextovodkaz"/>
            <w:sz w:val="20"/>
            <w:szCs w:val="20"/>
          </w:rPr>
          <w:t>https://eur-lex.europa.eu/legal-content/CS/TXT/PDF/?uri=CELEX:32020R0148&amp;qid=1590500413010&amp;from=CS</w:t>
        </w:r>
      </w:hyperlink>
    </w:p>
    <w:p w14:paraId="2E6A032C" w14:textId="1BE164EF" w:rsidR="00B257DB" w:rsidRDefault="00C52371" w:rsidP="00E82657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60)</w:t>
      </w:r>
      <w:r>
        <w:rPr>
          <w:sz w:val="20"/>
          <w:szCs w:val="20"/>
          <w:lang w:val="cs-CZ"/>
        </w:rPr>
        <w:t xml:space="preserve"> Nařízení Komise 2020</w:t>
      </w:r>
      <w:r w:rsidR="006C435D">
        <w:rPr>
          <w:sz w:val="20"/>
          <w:szCs w:val="20"/>
          <w:lang w:val="cs-CZ"/>
        </w:rPr>
        <w:t>/994 z 9. července 2020 (L 221 z 10.7.2020, s. 79)</w:t>
      </w:r>
    </w:p>
    <w:p w14:paraId="30E9F61F" w14:textId="72279FF3" w:rsidR="006C435D" w:rsidRPr="00B7778B" w:rsidRDefault="00000000" w:rsidP="00E82657">
      <w:pPr>
        <w:rPr>
          <w:sz w:val="16"/>
          <w:szCs w:val="16"/>
          <w:lang w:val="cs-CZ"/>
        </w:rPr>
      </w:pPr>
      <w:hyperlink r:id="rId78" w:history="1">
        <w:r w:rsidR="00B7778B" w:rsidRPr="00B7778B">
          <w:rPr>
            <w:rStyle w:val="Hypertextovodkaz"/>
            <w:sz w:val="20"/>
            <w:szCs w:val="20"/>
          </w:rPr>
          <w:t>https://eur-lex.europa.eu/legal-content/CS/TXT/PDF/?uri=CELEX:32020R0994&amp;qid=1597331770721&amp;from=CS</w:t>
        </w:r>
      </w:hyperlink>
    </w:p>
    <w:p w14:paraId="4C9FC449" w14:textId="5F91337E" w:rsidR="00E82657" w:rsidRDefault="00B100FB" w:rsidP="00E82657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61)</w:t>
      </w:r>
      <w:r>
        <w:rPr>
          <w:sz w:val="20"/>
          <w:szCs w:val="20"/>
          <w:lang w:val="cs-CZ"/>
        </w:rPr>
        <w:t xml:space="preserve"> </w:t>
      </w:r>
      <w:r w:rsidR="007C2BE0">
        <w:rPr>
          <w:sz w:val="20"/>
          <w:szCs w:val="20"/>
          <w:lang w:val="cs-CZ"/>
        </w:rPr>
        <w:t xml:space="preserve">Nařízení Komise 2021/2047 z 23. listopadu 2021 (L 418 z 24.11.2021, s. </w:t>
      </w:r>
      <w:r w:rsidR="005F571C">
        <w:rPr>
          <w:sz w:val="20"/>
          <w:szCs w:val="20"/>
          <w:lang w:val="cs-CZ"/>
        </w:rPr>
        <w:t>13)</w:t>
      </w:r>
    </w:p>
    <w:p w14:paraId="60714ED3" w14:textId="202DED66" w:rsidR="005F571C" w:rsidRPr="00575E9E" w:rsidRDefault="00000000" w:rsidP="00E82657">
      <w:pPr>
        <w:rPr>
          <w:sz w:val="16"/>
          <w:szCs w:val="16"/>
          <w:lang w:val="cs-CZ"/>
        </w:rPr>
      </w:pPr>
      <w:hyperlink r:id="rId79" w:history="1">
        <w:r w:rsidR="00575E9E" w:rsidRPr="00575E9E">
          <w:rPr>
            <w:rStyle w:val="Hypertextovodkaz"/>
            <w:sz w:val="20"/>
            <w:szCs w:val="20"/>
          </w:rPr>
          <w:t>undefined (europa.eu)</w:t>
        </w:r>
      </w:hyperlink>
    </w:p>
    <w:p w14:paraId="283A0900" w14:textId="65073BE1" w:rsidR="00995427" w:rsidRDefault="00A862C5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62)</w:t>
      </w:r>
      <w:r>
        <w:rPr>
          <w:sz w:val="20"/>
          <w:szCs w:val="20"/>
          <w:lang w:val="cs-CZ"/>
        </w:rPr>
        <w:t xml:space="preserve"> Nařízení Komise 2021/2094 z 29. listopadu 2021 (L 427 z 30.11.2021, s. 173)</w:t>
      </w:r>
    </w:p>
    <w:p w14:paraId="6191110F" w14:textId="60429CEC" w:rsidR="00A862C5" w:rsidRDefault="00000000">
      <w:pPr>
        <w:rPr>
          <w:rStyle w:val="Hypertextovodkaz"/>
          <w:sz w:val="20"/>
          <w:szCs w:val="20"/>
        </w:rPr>
      </w:pPr>
      <w:hyperlink r:id="rId80" w:history="1">
        <w:r w:rsidR="00EA32FD" w:rsidRPr="00EA32FD">
          <w:rPr>
            <w:rStyle w:val="Hypertextovodkaz"/>
            <w:sz w:val="20"/>
            <w:szCs w:val="20"/>
          </w:rPr>
          <w:t>undefined (europa.eu)</w:t>
        </w:r>
      </w:hyperlink>
    </w:p>
    <w:p w14:paraId="101209CF" w14:textId="5E497B2A" w:rsidR="007A5B9B" w:rsidRDefault="00B000D9">
      <w:pPr>
        <w:rPr>
          <w:rStyle w:val="Hypertextovodkaz"/>
          <w:color w:val="auto"/>
          <w:sz w:val="20"/>
          <w:szCs w:val="20"/>
          <w:u w:val="none"/>
        </w:rPr>
      </w:pPr>
      <w:r w:rsidRPr="00B000D9">
        <w:rPr>
          <w:rStyle w:val="Hypertextovodkaz"/>
          <w:color w:val="auto"/>
          <w:sz w:val="20"/>
          <w:szCs w:val="20"/>
          <w:u w:val="none"/>
          <w:vertAlign w:val="superscript"/>
        </w:rPr>
        <w:t>63)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B61C8A">
        <w:rPr>
          <w:rStyle w:val="Hypertextovodkaz"/>
          <w:color w:val="auto"/>
          <w:sz w:val="20"/>
          <w:szCs w:val="20"/>
          <w:u w:val="none"/>
        </w:rPr>
        <w:t xml:space="preserve">2024/231 z 12. </w:t>
      </w:r>
      <w:proofErr w:type="spellStart"/>
      <w:r w:rsidR="00B61C8A">
        <w:rPr>
          <w:rStyle w:val="Hypertextovodkaz"/>
          <w:color w:val="auto"/>
          <w:sz w:val="20"/>
          <w:szCs w:val="20"/>
          <w:u w:val="none"/>
        </w:rPr>
        <w:t>ledna</w:t>
      </w:r>
      <w:proofErr w:type="spellEnd"/>
      <w:r w:rsidR="00B61C8A">
        <w:rPr>
          <w:rStyle w:val="Hypertextovodkaz"/>
          <w:color w:val="auto"/>
          <w:sz w:val="20"/>
          <w:szCs w:val="20"/>
          <w:u w:val="none"/>
        </w:rPr>
        <w:t xml:space="preserve"> 2024 (</w:t>
      </w:r>
      <w:r w:rsidR="00713433">
        <w:rPr>
          <w:rStyle w:val="Hypertextovodkaz"/>
          <w:color w:val="auto"/>
          <w:sz w:val="20"/>
          <w:szCs w:val="20"/>
          <w:u w:val="none"/>
        </w:rPr>
        <w:t>L</w:t>
      </w:r>
      <w:r w:rsidR="0098664F">
        <w:rPr>
          <w:rStyle w:val="Hypertextovodkaz"/>
          <w:color w:val="auto"/>
          <w:sz w:val="20"/>
          <w:szCs w:val="20"/>
          <w:u w:val="none"/>
        </w:rPr>
        <w:t>268</w:t>
      </w:r>
      <w:r w:rsidR="00A00F16">
        <w:rPr>
          <w:rStyle w:val="Hypertextovodkaz"/>
          <w:color w:val="auto"/>
          <w:sz w:val="20"/>
          <w:szCs w:val="20"/>
          <w:u w:val="none"/>
        </w:rPr>
        <w:t xml:space="preserve"> z 15.1.2024,</w:t>
      </w:r>
      <w:r w:rsidR="001B1DA2">
        <w:rPr>
          <w:rStyle w:val="Hypertextovodkaz"/>
          <w:color w:val="auto"/>
          <w:sz w:val="20"/>
          <w:szCs w:val="20"/>
          <w:u w:val="none"/>
        </w:rPr>
        <w:t xml:space="preserve"> s. 29)</w:t>
      </w:r>
    </w:p>
    <w:p w14:paraId="54A4B905" w14:textId="0A34F955" w:rsidR="001B1DA2" w:rsidRDefault="001C192A">
      <w:pPr>
        <w:rPr>
          <w:sz w:val="20"/>
          <w:szCs w:val="20"/>
        </w:rPr>
      </w:pPr>
      <w:hyperlink r:id="rId81" w:history="1">
        <w:proofErr w:type="spellStart"/>
        <w:r w:rsidRPr="001C192A">
          <w:rPr>
            <w:rStyle w:val="Hypertextovodkaz"/>
            <w:sz w:val="20"/>
            <w:szCs w:val="20"/>
          </w:rPr>
          <w:t>Prováděcí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nařízení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Komise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(EU) 2024/231 ze </w:t>
        </w:r>
        <w:proofErr w:type="spellStart"/>
        <w:r w:rsidRPr="001C192A">
          <w:rPr>
            <w:rStyle w:val="Hypertextovodkaz"/>
            <w:sz w:val="20"/>
            <w:szCs w:val="20"/>
          </w:rPr>
          <w:t>dne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12. </w:t>
        </w:r>
        <w:proofErr w:type="spellStart"/>
        <w:r w:rsidRPr="001C192A">
          <w:rPr>
            <w:rStyle w:val="Hypertextovodkaz"/>
            <w:sz w:val="20"/>
            <w:szCs w:val="20"/>
          </w:rPr>
          <w:t>ledna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2024 o </w:t>
        </w:r>
        <w:proofErr w:type="spellStart"/>
        <w:r w:rsidRPr="001C192A">
          <w:rPr>
            <w:rStyle w:val="Hypertextovodkaz"/>
            <w:sz w:val="20"/>
            <w:szCs w:val="20"/>
          </w:rPr>
          <w:t>povolení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přípravku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halofuginon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hydrobromidu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(</w:t>
        </w:r>
        <w:proofErr w:type="spellStart"/>
        <w:r w:rsidRPr="001C192A">
          <w:rPr>
            <w:rStyle w:val="Hypertextovodkaz"/>
            <w:sz w:val="20"/>
            <w:szCs w:val="20"/>
          </w:rPr>
          <w:t>Stenorol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) </w:t>
        </w:r>
        <w:proofErr w:type="spellStart"/>
        <w:r w:rsidRPr="001C192A">
          <w:rPr>
            <w:rStyle w:val="Hypertextovodkaz"/>
            <w:sz w:val="20"/>
            <w:szCs w:val="20"/>
          </w:rPr>
          <w:t>jako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doplňkové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látky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pro </w:t>
        </w:r>
        <w:proofErr w:type="spellStart"/>
        <w:r w:rsidRPr="001C192A">
          <w:rPr>
            <w:rStyle w:val="Hypertextovodkaz"/>
            <w:sz w:val="20"/>
            <w:szCs w:val="20"/>
          </w:rPr>
          <w:t>výkrm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kuřat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, </w:t>
        </w:r>
        <w:proofErr w:type="spellStart"/>
        <w:r w:rsidRPr="001C192A">
          <w:rPr>
            <w:rStyle w:val="Hypertextovodkaz"/>
            <w:sz w:val="20"/>
            <w:szCs w:val="20"/>
          </w:rPr>
          <w:t>výkrm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krůt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gramStart"/>
        <w:r w:rsidRPr="001C192A">
          <w:rPr>
            <w:rStyle w:val="Hypertextovodkaz"/>
            <w:sz w:val="20"/>
            <w:szCs w:val="20"/>
          </w:rPr>
          <w:t>a</w:t>
        </w:r>
        <w:proofErr w:type="gramEnd"/>
        <w:r w:rsidRPr="001C192A">
          <w:rPr>
            <w:rStyle w:val="Hypertextovodkaz"/>
            <w:sz w:val="20"/>
            <w:szCs w:val="20"/>
          </w:rPr>
          <w:t> </w:t>
        </w:r>
        <w:proofErr w:type="spellStart"/>
        <w:r w:rsidRPr="001C192A">
          <w:rPr>
            <w:rStyle w:val="Hypertextovodkaz"/>
            <w:sz w:val="20"/>
            <w:szCs w:val="20"/>
          </w:rPr>
          <w:t>odchov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krůt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(</w:t>
        </w:r>
        <w:proofErr w:type="spellStart"/>
        <w:r w:rsidRPr="001C192A">
          <w:rPr>
            <w:rStyle w:val="Hypertextovodkaz"/>
            <w:sz w:val="20"/>
            <w:szCs w:val="20"/>
          </w:rPr>
          <w:t>držitel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1C192A">
          <w:rPr>
            <w:rStyle w:val="Hypertextovodkaz"/>
            <w:sz w:val="20"/>
            <w:szCs w:val="20"/>
          </w:rPr>
          <w:t>povolení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: </w:t>
        </w:r>
        <w:proofErr w:type="spellStart"/>
        <w:r w:rsidRPr="001C192A">
          <w:rPr>
            <w:rStyle w:val="Hypertextovodkaz"/>
            <w:sz w:val="20"/>
            <w:szCs w:val="20"/>
          </w:rPr>
          <w:t>Huvepharma</w:t>
        </w:r>
        <w:proofErr w:type="spellEnd"/>
        <w:r w:rsidRPr="001C192A">
          <w:rPr>
            <w:rStyle w:val="Hypertextovodkaz"/>
            <w:sz w:val="20"/>
            <w:szCs w:val="20"/>
          </w:rPr>
          <w:t xml:space="preserve"> NV) (europa.eu)</w:t>
        </w:r>
      </w:hyperlink>
    </w:p>
    <w:p w14:paraId="73971BB9" w14:textId="77777777" w:rsidR="003F5E3B" w:rsidRPr="001C192A" w:rsidRDefault="003F5E3B">
      <w:pPr>
        <w:rPr>
          <w:sz w:val="20"/>
          <w:szCs w:val="20"/>
          <w:lang w:val="cs-CZ"/>
        </w:rPr>
      </w:pPr>
    </w:p>
    <w:sectPr w:rsidR="003F5E3B" w:rsidRPr="001C192A" w:rsidSect="0049425D">
      <w:headerReference w:type="default" r:id="rId82"/>
      <w:pgSz w:w="16838" w:h="11906" w:orient="landscape" w:code="9"/>
      <w:pgMar w:top="1418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6FD4" w14:textId="77777777" w:rsidR="0082655C" w:rsidRDefault="0082655C">
      <w:r>
        <w:separator/>
      </w:r>
    </w:p>
  </w:endnote>
  <w:endnote w:type="continuationSeparator" w:id="0">
    <w:p w14:paraId="520CB7FD" w14:textId="77777777" w:rsidR="0082655C" w:rsidRDefault="008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539E" w14:textId="77777777" w:rsidR="00CD6C0E" w:rsidRDefault="00CD6C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3E83" w14:textId="77777777" w:rsidR="00CD6C0E" w:rsidRDefault="00CD6C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FAD7" w14:textId="77777777" w:rsidR="00CD6C0E" w:rsidRDefault="00CD6C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8A2D" w14:textId="77777777" w:rsidR="0082655C" w:rsidRDefault="0082655C">
      <w:r>
        <w:separator/>
      </w:r>
    </w:p>
  </w:footnote>
  <w:footnote w:type="continuationSeparator" w:id="0">
    <w:p w14:paraId="63C8B434" w14:textId="77777777" w:rsidR="0082655C" w:rsidRDefault="0082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1D4E" w14:textId="77777777" w:rsidR="00CD6C0E" w:rsidRDefault="00CD6C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E716" w14:textId="77777777" w:rsidR="00CD6C0E" w:rsidRDefault="00CD6C0E" w:rsidP="0049425D">
    <w:pPr>
      <w:pStyle w:val="Zhlav"/>
    </w:pPr>
    <w:proofErr w:type="spellStart"/>
    <w:r>
      <w:t>Kategorie</w:t>
    </w:r>
    <w:proofErr w:type="spellEnd"/>
    <w:r>
      <w:t xml:space="preserve">: </w:t>
    </w:r>
    <w:proofErr w:type="spellStart"/>
    <w:r>
      <w:t>Kokcidiostatika</w:t>
    </w:r>
    <w:proofErr w:type="spellEnd"/>
    <w:r>
      <w:t xml:space="preserve"> a </w:t>
    </w:r>
    <w:proofErr w:type="spellStart"/>
    <w:r>
      <w:t>histomonostatika</w:t>
    </w:r>
    <w:proofErr w:type="spellEnd"/>
  </w:p>
  <w:p w14:paraId="02FE2956" w14:textId="77777777" w:rsidR="00CD6C0E" w:rsidRDefault="00CD6C0E" w:rsidP="0049425D">
    <w:pPr>
      <w:pStyle w:val="Zhlav"/>
    </w:pPr>
    <w:proofErr w:type="spellStart"/>
    <w:r>
      <w:t>Funkční</w:t>
    </w:r>
    <w:proofErr w:type="spellEnd"/>
    <w:r>
      <w:t xml:space="preserve"> </w:t>
    </w:r>
    <w:proofErr w:type="spellStart"/>
    <w:r>
      <w:t>skupina</w:t>
    </w:r>
    <w:proofErr w:type="spellEnd"/>
    <w:r>
      <w:t xml:space="preserve">: </w:t>
    </w:r>
    <w:proofErr w:type="spellStart"/>
    <w:r>
      <w:t>Kokcidiostatika</w:t>
    </w:r>
    <w:proofErr w:type="spellEnd"/>
    <w:r>
      <w:t xml:space="preserve"> a </w:t>
    </w:r>
    <w:proofErr w:type="spellStart"/>
    <w:r>
      <w:t>histomonostatika</w:t>
    </w:r>
    <w:proofErr w:type="spellEnd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8FAE" w14:textId="77777777" w:rsidR="00CD6C0E" w:rsidRDefault="00CD6C0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EB94" w14:textId="77777777" w:rsidR="00CD6C0E" w:rsidRPr="00811AE2" w:rsidRDefault="00CD6C0E" w:rsidP="00494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563"/>
    <w:multiLevelType w:val="hybridMultilevel"/>
    <w:tmpl w:val="70806D14"/>
    <w:lvl w:ilvl="0" w:tplc="040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53219F"/>
    <w:multiLevelType w:val="hybridMultilevel"/>
    <w:tmpl w:val="FAAC1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4E9"/>
    <w:multiLevelType w:val="singleLevel"/>
    <w:tmpl w:val="73DE8146"/>
    <w:lvl w:ilvl="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672F4F"/>
    <w:multiLevelType w:val="hybridMultilevel"/>
    <w:tmpl w:val="DC068CAA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72AD"/>
    <w:multiLevelType w:val="hybridMultilevel"/>
    <w:tmpl w:val="521E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C3287"/>
    <w:multiLevelType w:val="hybridMultilevel"/>
    <w:tmpl w:val="39D4CA62"/>
    <w:lvl w:ilvl="0" w:tplc="0D64F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37FD"/>
    <w:multiLevelType w:val="hybridMultilevel"/>
    <w:tmpl w:val="58BA36DE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332"/>
    <w:multiLevelType w:val="hybridMultilevel"/>
    <w:tmpl w:val="75D275FC"/>
    <w:lvl w:ilvl="0" w:tplc="C76ABE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4DE2"/>
    <w:multiLevelType w:val="hybridMultilevel"/>
    <w:tmpl w:val="B216A614"/>
    <w:lvl w:ilvl="0" w:tplc="2D7E972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3658B"/>
    <w:multiLevelType w:val="hybridMultilevel"/>
    <w:tmpl w:val="8806D182"/>
    <w:lvl w:ilvl="0" w:tplc="C76ABE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54F0"/>
    <w:multiLevelType w:val="multilevel"/>
    <w:tmpl w:val="EDA2F960"/>
    <w:lvl w:ilvl="0">
      <w:start w:val="1"/>
      <w:numFmt w:val="decimal"/>
      <w:pStyle w:val="NumPar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7D67D6B"/>
    <w:multiLevelType w:val="hybridMultilevel"/>
    <w:tmpl w:val="8C40E65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0AFD"/>
    <w:multiLevelType w:val="hybridMultilevel"/>
    <w:tmpl w:val="68CA9504"/>
    <w:lvl w:ilvl="0" w:tplc="E9AE3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B600C"/>
    <w:multiLevelType w:val="hybridMultilevel"/>
    <w:tmpl w:val="ED4890F2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840C4"/>
    <w:multiLevelType w:val="hybridMultilevel"/>
    <w:tmpl w:val="D39CC42E"/>
    <w:lvl w:ilvl="0" w:tplc="E9AE3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86ACA"/>
    <w:multiLevelType w:val="hybridMultilevel"/>
    <w:tmpl w:val="467ED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080"/>
    <w:multiLevelType w:val="hybridMultilevel"/>
    <w:tmpl w:val="F710BAB4"/>
    <w:lvl w:ilvl="0" w:tplc="C3AAC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4869"/>
    <w:multiLevelType w:val="hybridMultilevel"/>
    <w:tmpl w:val="7130C1CC"/>
    <w:lvl w:ilvl="0" w:tplc="1D08238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43697"/>
    <w:multiLevelType w:val="hybridMultilevel"/>
    <w:tmpl w:val="56D6D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05DC0"/>
    <w:multiLevelType w:val="hybridMultilevel"/>
    <w:tmpl w:val="2BB89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5546F"/>
    <w:multiLevelType w:val="hybridMultilevel"/>
    <w:tmpl w:val="D7DA6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B6FDF"/>
    <w:multiLevelType w:val="multilevel"/>
    <w:tmpl w:val="3AC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8904EC"/>
    <w:multiLevelType w:val="hybridMultilevel"/>
    <w:tmpl w:val="F5F2C70C"/>
    <w:lvl w:ilvl="0" w:tplc="0D64F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5132B"/>
    <w:multiLevelType w:val="hybridMultilevel"/>
    <w:tmpl w:val="09E0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61B68"/>
    <w:multiLevelType w:val="hybridMultilevel"/>
    <w:tmpl w:val="56A09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68318">
    <w:abstractNumId w:val="10"/>
  </w:num>
  <w:num w:numId="2" w16cid:durableId="526918169">
    <w:abstractNumId w:val="2"/>
  </w:num>
  <w:num w:numId="3" w16cid:durableId="1261135647">
    <w:abstractNumId w:val="24"/>
  </w:num>
  <w:num w:numId="4" w16cid:durableId="873227285">
    <w:abstractNumId w:val="8"/>
  </w:num>
  <w:num w:numId="5" w16cid:durableId="264196188">
    <w:abstractNumId w:val="17"/>
  </w:num>
  <w:num w:numId="6" w16cid:durableId="321324444">
    <w:abstractNumId w:val="11"/>
  </w:num>
  <w:num w:numId="7" w16cid:durableId="130445071">
    <w:abstractNumId w:val="5"/>
  </w:num>
  <w:num w:numId="8" w16cid:durableId="533228541">
    <w:abstractNumId w:val="21"/>
  </w:num>
  <w:num w:numId="9" w16cid:durableId="1311330776">
    <w:abstractNumId w:val="16"/>
  </w:num>
  <w:num w:numId="10" w16cid:durableId="1842114735">
    <w:abstractNumId w:val="4"/>
  </w:num>
  <w:num w:numId="11" w16cid:durableId="349139506">
    <w:abstractNumId w:val="0"/>
  </w:num>
  <w:num w:numId="12" w16cid:durableId="796219363">
    <w:abstractNumId w:val="13"/>
  </w:num>
  <w:num w:numId="13" w16cid:durableId="737944329">
    <w:abstractNumId w:val="6"/>
  </w:num>
  <w:num w:numId="14" w16cid:durableId="760685939">
    <w:abstractNumId w:val="23"/>
  </w:num>
  <w:num w:numId="15" w16cid:durableId="794836381">
    <w:abstractNumId w:val="12"/>
  </w:num>
  <w:num w:numId="16" w16cid:durableId="1078868278">
    <w:abstractNumId w:val="15"/>
  </w:num>
  <w:num w:numId="17" w16cid:durableId="758600996">
    <w:abstractNumId w:val="14"/>
  </w:num>
  <w:num w:numId="18" w16cid:durableId="1656377952">
    <w:abstractNumId w:val="22"/>
  </w:num>
  <w:num w:numId="19" w16cid:durableId="1923758317">
    <w:abstractNumId w:val="20"/>
  </w:num>
  <w:num w:numId="20" w16cid:durableId="1152213912">
    <w:abstractNumId w:val="19"/>
  </w:num>
  <w:num w:numId="21" w16cid:durableId="1789352670">
    <w:abstractNumId w:val="9"/>
  </w:num>
  <w:num w:numId="22" w16cid:durableId="242645894">
    <w:abstractNumId w:val="7"/>
  </w:num>
  <w:num w:numId="23" w16cid:durableId="191191221">
    <w:abstractNumId w:val="3"/>
  </w:num>
  <w:num w:numId="24" w16cid:durableId="569579858">
    <w:abstractNumId w:val="1"/>
  </w:num>
  <w:num w:numId="25" w16cid:durableId="592570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57"/>
    <w:rsid w:val="000113CA"/>
    <w:rsid w:val="00011EBD"/>
    <w:rsid w:val="000128BE"/>
    <w:rsid w:val="0001747D"/>
    <w:rsid w:val="00034F8F"/>
    <w:rsid w:val="000376CC"/>
    <w:rsid w:val="000563F6"/>
    <w:rsid w:val="00071FDA"/>
    <w:rsid w:val="000835E2"/>
    <w:rsid w:val="00085AE8"/>
    <w:rsid w:val="00086ADA"/>
    <w:rsid w:val="00096607"/>
    <w:rsid w:val="000A2D7F"/>
    <w:rsid w:val="000A3B3D"/>
    <w:rsid w:val="000A4F27"/>
    <w:rsid w:val="000B72B8"/>
    <w:rsid w:val="000C373F"/>
    <w:rsid w:val="000C5953"/>
    <w:rsid w:val="000E31B8"/>
    <w:rsid w:val="000E5128"/>
    <w:rsid w:val="000F643B"/>
    <w:rsid w:val="001019CE"/>
    <w:rsid w:val="0010628F"/>
    <w:rsid w:val="00107875"/>
    <w:rsid w:val="001172DB"/>
    <w:rsid w:val="00120BC0"/>
    <w:rsid w:val="00120E3C"/>
    <w:rsid w:val="00122C91"/>
    <w:rsid w:val="001242C0"/>
    <w:rsid w:val="00125E52"/>
    <w:rsid w:val="00126776"/>
    <w:rsid w:val="001413F4"/>
    <w:rsid w:val="00141530"/>
    <w:rsid w:val="001430A6"/>
    <w:rsid w:val="00143E91"/>
    <w:rsid w:val="00146B1F"/>
    <w:rsid w:val="00150D93"/>
    <w:rsid w:val="00156D7A"/>
    <w:rsid w:val="00165E70"/>
    <w:rsid w:val="00180324"/>
    <w:rsid w:val="00181C6C"/>
    <w:rsid w:val="001B1DA2"/>
    <w:rsid w:val="001B7638"/>
    <w:rsid w:val="001B7C47"/>
    <w:rsid w:val="001C0150"/>
    <w:rsid w:val="001C192A"/>
    <w:rsid w:val="001C3FBA"/>
    <w:rsid w:val="001C5535"/>
    <w:rsid w:val="001D15D8"/>
    <w:rsid w:val="001D1FD0"/>
    <w:rsid w:val="001D5724"/>
    <w:rsid w:val="001D73FA"/>
    <w:rsid w:val="001E05B6"/>
    <w:rsid w:val="001E4C42"/>
    <w:rsid w:val="001E4E2C"/>
    <w:rsid w:val="001F0D8A"/>
    <w:rsid w:val="001F69E0"/>
    <w:rsid w:val="00207FEB"/>
    <w:rsid w:val="00214F60"/>
    <w:rsid w:val="00215964"/>
    <w:rsid w:val="0022157E"/>
    <w:rsid w:val="00227D23"/>
    <w:rsid w:val="002353AF"/>
    <w:rsid w:val="002417E8"/>
    <w:rsid w:val="00243E28"/>
    <w:rsid w:val="00246515"/>
    <w:rsid w:val="002475E9"/>
    <w:rsid w:val="002567FD"/>
    <w:rsid w:val="00261935"/>
    <w:rsid w:val="00267E8F"/>
    <w:rsid w:val="0027112F"/>
    <w:rsid w:val="00275343"/>
    <w:rsid w:val="00282EA1"/>
    <w:rsid w:val="0028320E"/>
    <w:rsid w:val="00284B4A"/>
    <w:rsid w:val="00284C2E"/>
    <w:rsid w:val="00294321"/>
    <w:rsid w:val="00296C7A"/>
    <w:rsid w:val="002A03AF"/>
    <w:rsid w:val="002A3EC8"/>
    <w:rsid w:val="002A5E96"/>
    <w:rsid w:val="002B07E4"/>
    <w:rsid w:val="002C72BF"/>
    <w:rsid w:val="002C7668"/>
    <w:rsid w:val="002D2DAA"/>
    <w:rsid w:val="002E0C97"/>
    <w:rsid w:val="002E13C7"/>
    <w:rsid w:val="002F46D0"/>
    <w:rsid w:val="002F6227"/>
    <w:rsid w:val="003027FB"/>
    <w:rsid w:val="003065EF"/>
    <w:rsid w:val="00315EB6"/>
    <w:rsid w:val="00321573"/>
    <w:rsid w:val="00336224"/>
    <w:rsid w:val="00346E83"/>
    <w:rsid w:val="003548BB"/>
    <w:rsid w:val="00375FF9"/>
    <w:rsid w:val="003847F9"/>
    <w:rsid w:val="003938F0"/>
    <w:rsid w:val="003A202A"/>
    <w:rsid w:val="003B3076"/>
    <w:rsid w:val="003B3DE2"/>
    <w:rsid w:val="003B46DB"/>
    <w:rsid w:val="003C62C4"/>
    <w:rsid w:val="003E00DB"/>
    <w:rsid w:val="003E2098"/>
    <w:rsid w:val="003E60A6"/>
    <w:rsid w:val="003F5E3B"/>
    <w:rsid w:val="004010A2"/>
    <w:rsid w:val="00402FFC"/>
    <w:rsid w:val="00406E1E"/>
    <w:rsid w:val="00415712"/>
    <w:rsid w:val="00416B56"/>
    <w:rsid w:val="004227EC"/>
    <w:rsid w:val="0042592C"/>
    <w:rsid w:val="00431ABC"/>
    <w:rsid w:val="0043301A"/>
    <w:rsid w:val="004332E0"/>
    <w:rsid w:val="004354CA"/>
    <w:rsid w:val="00440CEC"/>
    <w:rsid w:val="00441490"/>
    <w:rsid w:val="004451D1"/>
    <w:rsid w:val="00452FF6"/>
    <w:rsid w:val="00457776"/>
    <w:rsid w:val="00464B76"/>
    <w:rsid w:val="00465C9F"/>
    <w:rsid w:val="00465DCB"/>
    <w:rsid w:val="00467F31"/>
    <w:rsid w:val="00471736"/>
    <w:rsid w:val="0047294B"/>
    <w:rsid w:val="004747FA"/>
    <w:rsid w:val="0048194F"/>
    <w:rsid w:val="00486E8D"/>
    <w:rsid w:val="0049425D"/>
    <w:rsid w:val="004B28C0"/>
    <w:rsid w:val="004D1009"/>
    <w:rsid w:val="004D1E27"/>
    <w:rsid w:val="004D310D"/>
    <w:rsid w:val="004E45D5"/>
    <w:rsid w:val="004F14C4"/>
    <w:rsid w:val="00501F02"/>
    <w:rsid w:val="00507F7F"/>
    <w:rsid w:val="00511593"/>
    <w:rsid w:val="00513AFF"/>
    <w:rsid w:val="00514C9F"/>
    <w:rsid w:val="00514F08"/>
    <w:rsid w:val="005215D3"/>
    <w:rsid w:val="0052168E"/>
    <w:rsid w:val="00522118"/>
    <w:rsid w:val="005320BC"/>
    <w:rsid w:val="005548D9"/>
    <w:rsid w:val="00555465"/>
    <w:rsid w:val="00555C0E"/>
    <w:rsid w:val="00556D75"/>
    <w:rsid w:val="00557EE9"/>
    <w:rsid w:val="00561C27"/>
    <w:rsid w:val="0056274C"/>
    <w:rsid w:val="005631CE"/>
    <w:rsid w:val="00567EFE"/>
    <w:rsid w:val="00574D5F"/>
    <w:rsid w:val="00575E9E"/>
    <w:rsid w:val="0057611E"/>
    <w:rsid w:val="0057630D"/>
    <w:rsid w:val="00582CB9"/>
    <w:rsid w:val="005874FA"/>
    <w:rsid w:val="005A31F5"/>
    <w:rsid w:val="005B060C"/>
    <w:rsid w:val="005B522B"/>
    <w:rsid w:val="005C7413"/>
    <w:rsid w:val="005D7ED3"/>
    <w:rsid w:val="005E0A4A"/>
    <w:rsid w:val="005E1612"/>
    <w:rsid w:val="005E7070"/>
    <w:rsid w:val="005E7C9B"/>
    <w:rsid w:val="005F2CDF"/>
    <w:rsid w:val="005F571C"/>
    <w:rsid w:val="00606DEA"/>
    <w:rsid w:val="00607001"/>
    <w:rsid w:val="0061527A"/>
    <w:rsid w:val="00620D02"/>
    <w:rsid w:val="0062441D"/>
    <w:rsid w:val="00632E0D"/>
    <w:rsid w:val="00634604"/>
    <w:rsid w:val="00634F70"/>
    <w:rsid w:val="006419A6"/>
    <w:rsid w:val="00650EAE"/>
    <w:rsid w:val="0065407B"/>
    <w:rsid w:val="00664CFB"/>
    <w:rsid w:val="0066738F"/>
    <w:rsid w:val="006815E2"/>
    <w:rsid w:val="006C435D"/>
    <w:rsid w:val="006C5A71"/>
    <w:rsid w:val="006D265C"/>
    <w:rsid w:val="006D2D64"/>
    <w:rsid w:val="006F3513"/>
    <w:rsid w:val="007048D3"/>
    <w:rsid w:val="00706771"/>
    <w:rsid w:val="00713433"/>
    <w:rsid w:val="007464BB"/>
    <w:rsid w:val="00752D09"/>
    <w:rsid w:val="007572DA"/>
    <w:rsid w:val="007608C9"/>
    <w:rsid w:val="007758DE"/>
    <w:rsid w:val="00780632"/>
    <w:rsid w:val="00782CBF"/>
    <w:rsid w:val="0078541B"/>
    <w:rsid w:val="007A0DD1"/>
    <w:rsid w:val="007A1BF9"/>
    <w:rsid w:val="007A4BE5"/>
    <w:rsid w:val="007A5B9B"/>
    <w:rsid w:val="007A5CC9"/>
    <w:rsid w:val="007C0967"/>
    <w:rsid w:val="007C20DB"/>
    <w:rsid w:val="007C2BE0"/>
    <w:rsid w:val="007C2E8F"/>
    <w:rsid w:val="007C5559"/>
    <w:rsid w:val="007C5D25"/>
    <w:rsid w:val="007D17FA"/>
    <w:rsid w:val="007D440D"/>
    <w:rsid w:val="007D4B17"/>
    <w:rsid w:val="007E4DA9"/>
    <w:rsid w:val="007E6EAA"/>
    <w:rsid w:val="007F1980"/>
    <w:rsid w:val="0080161B"/>
    <w:rsid w:val="00802C37"/>
    <w:rsid w:val="00802E2B"/>
    <w:rsid w:val="008031CC"/>
    <w:rsid w:val="0080602A"/>
    <w:rsid w:val="0080731F"/>
    <w:rsid w:val="00807DF3"/>
    <w:rsid w:val="0082655C"/>
    <w:rsid w:val="008367F8"/>
    <w:rsid w:val="00840EAB"/>
    <w:rsid w:val="00845DDF"/>
    <w:rsid w:val="008477FA"/>
    <w:rsid w:val="00877807"/>
    <w:rsid w:val="00883DA1"/>
    <w:rsid w:val="008845C4"/>
    <w:rsid w:val="00896461"/>
    <w:rsid w:val="008A1678"/>
    <w:rsid w:val="008B2B5E"/>
    <w:rsid w:val="008B6F93"/>
    <w:rsid w:val="008C2A1D"/>
    <w:rsid w:val="008C3DF2"/>
    <w:rsid w:val="008C6975"/>
    <w:rsid w:val="008D3B09"/>
    <w:rsid w:val="008D43C0"/>
    <w:rsid w:val="008E37A3"/>
    <w:rsid w:val="00900EEF"/>
    <w:rsid w:val="00911AB7"/>
    <w:rsid w:val="009126EF"/>
    <w:rsid w:val="00916B1C"/>
    <w:rsid w:val="009210CF"/>
    <w:rsid w:val="00921FC5"/>
    <w:rsid w:val="009245F4"/>
    <w:rsid w:val="009254F5"/>
    <w:rsid w:val="0094065D"/>
    <w:rsid w:val="00943015"/>
    <w:rsid w:val="0094692C"/>
    <w:rsid w:val="00952185"/>
    <w:rsid w:val="0095461B"/>
    <w:rsid w:val="00957E8F"/>
    <w:rsid w:val="00970B08"/>
    <w:rsid w:val="00984AE1"/>
    <w:rsid w:val="0098664F"/>
    <w:rsid w:val="00986F74"/>
    <w:rsid w:val="009913CB"/>
    <w:rsid w:val="00991ABE"/>
    <w:rsid w:val="00995427"/>
    <w:rsid w:val="009B596E"/>
    <w:rsid w:val="009B5F2A"/>
    <w:rsid w:val="009C37D6"/>
    <w:rsid w:val="009C560A"/>
    <w:rsid w:val="009D0D46"/>
    <w:rsid w:val="009D2D9F"/>
    <w:rsid w:val="009D2E8F"/>
    <w:rsid w:val="009E534D"/>
    <w:rsid w:val="00A00F16"/>
    <w:rsid w:val="00A0318D"/>
    <w:rsid w:val="00A33F00"/>
    <w:rsid w:val="00A55BCE"/>
    <w:rsid w:val="00A65526"/>
    <w:rsid w:val="00A65CE2"/>
    <w:rsid w:val="00A67C88"/>
    <w:rsid w:val="00A762AA"/>
    <w:rsid w:val="00A862C5"/>
    <w:rsid w:val="00A93970"/>
    <w:rsid w:val="00A9503E"/>
    <w:rsid w:val="00AB3132"/>
    <w:rsid w:val="00AB56DE"/>
    <w:rsid w:val="00AC4313"/>
    <w:rsid w:val="00AE02FA"/>
    <w:rsid w:val="00AE106B"/>
    <w:rsid w:val="00AE3D85"/>
    <w:rsid w:val="00AF1F0F"/>
    <w:rsid w:val="00AF28B8"/>
    <w:rsid w:val="00AF362B"/>
    <w:rsid w:val="00AF3729"/>
    <w:rsid w:val="00AF46C2"/>
    <w:rsid w:val="00AF662F"/>
    <w:rsid w:val="00B000D9"/>
    <w:rsid w:val="00B02A49"/>
    <w:rsid w:val="00B04471"/>
    <w:rsid w:val="00B100FB"/>
    <w:rsid w:val="00B1189E"/>
    <w:rsid w:val="00B169EF"/>
    <w:rsid w:val="00B2071B"/>
    <w:rsid w:val="00B20844"/>
    <w:rsid w:val="00B257DB"/>
    <w:rsid w:val="00B27351"/>
    <w:rsid w:val="00B349A6"/>
    <w:rsid w:val="00B34A09"/>
    <w:rsid w:val="00B37E30"/>
    <w:rsid w:val="00B5167D"/>
    <w:rsid w:val="00B613E7"/>
    <w:rsid w:val="00B61C8A"/>
    <w:rsid w:val="00B6285B"/>
    <w:rsid w:val="00B639D1"/>
    <w:rsid w:val="00B73B2C"/>
    <w:rsid w:val="00B7778B"/>
    <w:rsid w:val="00B823FB"/>
    <w:rsid w:val="00B836A1"/>
    <w:rsid w:val="00B8659E"/>
    <w:rsid w:val="00BB1118"/>
    <w:rsid w:val="00BB454A"/>
    <w:rsid w:val="00BC017C"/>
    <w:rsid w:val="00BD0444"/>
    <w:rsid w:val="00BE63E5"/>
    <w:rsid w:val="00C00581"/>
    <w:rsid w:val="00C014EE"/>
    <w:rsid w:val="00C0388F"/>
    <w:rsid w:val="00C12059"/>
    <w:rsid w:val="00C12740"/>
    <w:rsid w:val="00C26A68"/>
    <w:rsid w:val="00C4108D"/>
    <w:rsid w:val="00C44095"/>
    <w:rsid w:val="00C52371"/>
    <w:rsid w:val="00C53FCE"/>
    <w:rsid w:val="00C639F3"/>
    <w:rsid w:val="00C64714"/>
    <w:rsid w:val="00C710D4"/>
    <w:rsid w:val="00C773C3"/>
    <w:rsid w:val="00C8035F"/>
    <w:rsid w:val="00C82068"/>
    <w:rsid w:val="00C90E7D"/>
    <w:rsid w:val="00C916C5"/>
    <w:rsid w:val="00C91AA8"/>
    <w:rsid w:val="00C920C5"/>
    <w:rsid w:val="00C93A8A"/>
    <w:rsid w:val="00C93B4E"/>
    <w:rsid w:val="00CA4413"/>
    <w:rsid w:val="00CB4AB3"/>
    <w:rsid w:val="00CB4DDA"/>
    <w:rsid w:val="00CC6504"/>
    <w:rsid w:val="00CC7C31"/>
    <w:rsid w:val="00CD3AB3"/>
    <w:rsid w:val="00CD6C0E"/>
    <w:rsid w:val="00CE3651"/>
    <w:rsid w:val="00CE417C"/>
    <w:rsid w:val="00CE5AF0"/>
    <w:rsid w:val="00CE6886"/>
    <w:rsid w:val="00CF4C24"/>
    <w:rsid w:val="00CF60D4"/>
    <w:rsid w:val="00D0507C"/>
    <w:rsid w:val="00D06DA7"/>
    <w:rsid w:val="00D10DF4"/>
    <w:rsid w:val="00D208F9"/>
    <w:rsid w:val="00D36191"/>
    <w:rsid w:val="00D45C2C"/>
    <w:rsid w:val="00D52C36"/>
    <w:rsid w:val="00D53558"/>
    <w:rsid w:val="00D63A63"/>
    <w:rsid w:val="00D664D4"/>
    <w:rsid w:val="00D7003D"/>
    <w:rsid w:val="00D719B8"/>
    <w:rsid w:val="00D8237B"/>
    <w:rsid w:val="00D8257A"/>
    <w:rsid w:val="00D826C8"/>
    <w:rsid w:val="00D92623"/>
    <w:rsid w:val="00D92A92"/>
    <w:rsid w:val="00DD2B30"/>
    <w:rsid w:val="00DE7F58"/>
    <w:rsid w:val="00DF28A6"/>
    <w:rsid w:val="00E005F4"/>
    <w:rsid w:val="00E015C5"/>
    <w:rsid w:val="00E10375"/>
    <w:rsid w:val="00E13E46"/>
    <w:rsid w:val="00E43CF8"/>
    <w:rsid w:val="00E55E0B"/>
    <w:rsid w:val="00E56C6E"/>
    <w:rsid w:val="00E60B5D"/>
    <w:rsid w:val="00E61C85"/>
    <w:rsid w:val="00E73584"/>
    <w:rsid w:val="00E76EA2"/>
    <w:rsid w:val="00E773CE"/>
    <w:rsid w:val="00E80AC7"/>
    <w:rsid w:val="00E82657"/>
    <w:rsid w:val="00E8377A"/>
    <w:rsid w:val="00EA09E0"/>
    <w:rsid w:val="00EA1248"/>
    <w:rsid w:val="00EA32FD"/>
    <w:rsid w:val="00EB0E96"/>
    <w:rsid w:val="00EB360B"/>
    <w:rsid w:val="00EC047F"/>
    <w:rsid w:val="00EE43D4"/>
    <w:rsid w:val="00EE4509"/>
    <w:rsid w:val="00EE5F33"/>
    <w:rsid w:val="00EF1D8F"/>
    <w:rsid w:val="00EF2378"/>
    <w:rsid w:val="00F02F10"/>
    <w:rsid w:val="00F214E5"/>
    <w:rsid w:val="00F21C34"/>
    <w:rsid w:val="00F2314A"/>
    <w:rsid w:val="00F364DD"/>
    <w:rsid w:val="00F46614"/>
    <w:rsid w:val="00F539A7"/>
    <w:rsid w:val="00F57E55"/>
    <w:rsid w:val="00F71E20"/>
    <w:rsid w:val="00F81162"/>
    <w:rsid w:val="00F81ECC"/>
    <w:rsid w:val="00FA6CB2"/>
    <w:rsid w:val="00FA7755"/>
    <w:rsid w:val="00FB0512"/>
    <w:rsid w:val="00FC3C51"/>
    <w:rsid w:val="00FC5E06"/>
    <w:rsid w:val="00FD38FA"/>
    <w:rsid w:val="00FD67A6"/>
    <w:rsid w:val="00FE00B0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4BE53D"/>
  <w15:chartTrackingRefBased/>
  <w15:docId w15:val="{B3F2AAE9-4BC0-4351-96A6-F9555351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82657"/>
    <w:pPr>
      <w:spacing w:before="120" w:line="240" w:lineRule="atLeast"/>
      <w:jc w:val="right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8265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E82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2657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Tabulka">
    <w:name w:val="Tabulka"/>
    <w:basedOn w:val="Normln"/>
    <w:rsid w:val="00E82657"/>
    <w:pPr>
      <w:keepNext/>
      <w:keepLines/>
      <w:jc w:val="center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E82657"/>
    <w:pPr>
      <w:spacing w:before="120"/>
      <w:jc w:val="both"/>
    </w:pPr>
    <w:rPr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2657"/>
    <w:rPr>
      <w:rFonts w:ascii="Times New Roman" w:eastAsia="Times New Roman" w:hAnsi="Times New Roman" w:cs="Times New Roman"/>
      <w:snapToGrid w:val="0"/>
      <w:sz w:val="24"/>
      <w:szCs w:val="20"/>
      <w:lang w:val="en-GB" w:eastAsia="cs-CZ"/>
    </w:rPr>
  </w:style>
  <w:style w:type="paragraph" w:styleId="Textpoznpodarou">
    <w:name w:val="footnote text"/>
    <w:aliases w:val=" Char"/>
    <w:basedOn w:val="Normln"/>
    <w:link w:val="TextpoznpodarouChar"/>
    <w:semiHidden/>
    <w:rsid w:val="00E82657"/>
    <w:rPr>
      <w:sz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semiHidden/>
    <w:rsid w:val="00E82657"/>
    <w:rPr>
      <w:rFonts w:ascii="Times New Roman" w:eastAsia="Times New Roman" w:hAnsi="Times New Roman" w:cs="Times New Roman"/>
      <w:sz w:val="20"/>
      <w:szCs w:val="24"/>
      <w:lang w:val="en-GB" w:eastAsia="cs-CZ"/>
    </w:rPr>
  </w:style>
  <w:style w:type="paragraph" w:customStyle="1" w:styleId="NumPar1">
    <w:name w:val="NumPar 1"/>
    <w:basedOn w:val="Normln"/>
    <w:next w:val="Text1"/>
    <w:rsid w:val="00E82657"/>
    <w:pPr>
      <w:numPr>
        <w:numId w:val="1"/>
      </w:numPr>
      <w:spacing w:before="120" w:after="120"/>
      <w:jc w:val="both"/>
    </w:pPr>
    <w:rPr>
      <w:szCs w:val="20"/>
    </w:rPr>
  </w:style>
  <w:style w:type="paragraph" w:customStyle="1" w:styleId="Text1">
    <w:name w:val="Text 1"/>
    <w:basedOn w:val="Normln"/>
    <w:rsid w:val="00E82657"/>
    <w:pPr>
      <w:spacing w:before="120" w:after="120"/>
      <w:ind w:left="851"/>
      <w:jc w:val="both"/>
    </w:pPr>
    <w:rPr>
      <w:szCs w:val="20"/>
    </w:rPr>
  </w:style>
  <w:style w:type="paragraph" w:customStyle="1" w:styleId="abc">
    <w:name w:val="abc"/>
    <w:basedOn w:val="Normln"/>
    <w:rsid w:val="00E82657"/>
    <w:pPr>
      <w:numPr>
        <w:numId w:val="2"/>
      </w:numPr>
      <w:spacing w:before="60"/>
      <w:ind w:left="357" w:hanging="357"/>
    </w:pPr>
    <w:rPr>
      <w:szCs w:val="20"/>
    </w:rPr>
  </w:style>
  <w:style w:type="character" w:styleId="Hypertextovodkaz">
    <w:name w:val="Hyperlink"/>
    <w:rsid w:val="00E8265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82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657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edovanodkaz">
    <w:name w:val="FollowedHyperlink"/>
    <w:semiHidden/>
    <w:rsid w:val="00E82657"/>
    <w:rPr>
      <w:color w:val="800080"/>
      <w:u w:val="single"/>
    </w:rPr>
  </w:style>
  <w:style w:type="character" w:styleId="Znakapoznpodarou">
    <w:name w:val="footnote reference"/>
    <w:semiHidden/>
    <w:rsid w:val="00E82657"/>
    <w:rPr>
      <w:vertAlign w:val="superscript"/>
    </w:rPr>
  </w:style>
  <w:style w:type="paragraph" w:customStyle="1" w:styleId="NormalCentered">
    <w:name w:val="Normal Centered"/>
    <w:basedOn w:val="Normln"/>
    <w:rsid w:val="00E82657"/>
    <w:pPr>
      <w:spacing w:before="120" w:after="120"/>
      <w:jc w:val="center"/>
    </w:pPr>
    <w:rPr>
      <w:snapToGrid w:val="0"/>
      <w:lang w:eastAsia="en-GB"/>
    </w:rPr>
  </w:style>
  <w:style w:type="paragraph" w:customStyle="1" w:styleId="Point0">
    <w:name w:val="Point 0"/>
    <w:basedOn w:val="Normln"/>
    <w:rsid w:val="00E82657"/>
    <w:pPr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3">
    <w:name w:val="Point 3"/>
    <w:basedOn w:val="Normln"/>
    <w:rsid w:val="00E82657"/>
    <w:pPr>
      <w:spacing w:before="120" w:after="120"/>
      <w:ind w:left="2551" w:hanging="567"/>
      <w:jc w:val="both"/>
    </w:pPr>
    <w:rPr>
      <w:snapToGrid w:val="0"/>
      <w:lang w:eastAsia="en-GB"/>
    </w:rPr>
  </w:style>
  <w:style w:type="paragraph" w:styleId="Zkladntext3">
    <w:name w:val="Body Text 3"/>
    <w:basedOn w:val="Normln"/>
    <w:link w:val="Zkladntext3Char"/>
    <w:semiHidden/>
    <w:rsid w:val="00E82657"/>
    <w:rPr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8265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I">
    <w:name w:val="Text I"/>
    <w:basedOn w:val="Text1"/>
    <w:rsid w:val="00E82657"/>
    <w:pPr>
      <w:ind w:left="0"/>
      <w:jc w:val="left"/>
    </w:pPr>
    <w:rPr>
      <w:lang w:val="cs-CZ"/>
    </w:rPr>
  </w:style>
  <w:style w:type="paragraph" w:customStyle="1" w:styleId="Text4">
    <w:name w:val="Text 4"/>
    <w:basedOn w:val="Normln"/>
    <w:rsid w:val="00E82657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Tiret1">
    <w:name w:val="Tiret 1"/>
    <w:basedOn w:val="Normln"/>
    <w:rsid w:val="00E82657"/>
    <w:pPr>
      <w:tabs>
        <w:tab w:val="num" w:pos="1417"/>
      </w:tabs>
      <w:spacing w:before="120" w:after="120"/>
      <w:ind w:left="1417" w:hanging="567"/>
      <w:jc w:val="both"/>
    </w:pPr>
    <w:rPr>
      <w:snapToGrid w:val="0"/>
      <w:lang w:val="cs-CZ" w:eastAsia="en-GB"/>
    </w:rPr>
  </w:style>
  <w:style w:type="paragraph" w:customStyle="1" w:styleId="FooterLandscape">
    <w:name w:val="FooterLandscape"/>
    <w:basedOn w:val="Normln"/>
    <w:rsid w:val="00E82657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snapToGrid w:val="0"/>
      <w:lang w:val="cs-CZ" w:eastAsia="en-GB"/>
    </w:rPr>
  </w:style>
  <w:style w:type="paragraph" w:customStyle="1" w:styleId="ListNumber4Level2">
    <w:name w:val="List Number 4 (Level 2)"/>
    <w:basedOn w:val="Normln"/>
    <w:rsid w:val="00E82657"/>
    <w:pPr>
      <w:tabs>
        <w:tab w:val="num" w:pos="2268"/>
      </w:tabs>
      <w:spacing w:before="120" w:after="120"/>
      <w:ind w:left="2268" w:hanging="708"/>
      <w:jc w:val="both"/>
    </w:pPr>
    <w:rPr>
      <w:snapToGrid w:val="0"/>
      <w:lang w:val="cs-CZ" w:eastAsia="en-GB"/>
    </w:rPr>
  </w:style>
  <w:style w:type="paragraph" w:customStyle="1" w:styleId="ListNumber4Level3">
    <w:name w:val="List Number 4 (Level 3)"/>
    <w:basedOn w:val="Normln"/>
    <w:rsid w:val="00E82657"/>
    <w:pPr>
      <w:tabs>
        <w:tab w:val="num" w:pos="2977"/>
      </w:tabs>
      <w:spacing w:before="120" w:after="120"/>
      <w:ind w:left="2977" w:hanging="709"/>
      <w:jc w:val="both"/>
    </w:pPr>
    <w:rPr>
      <w:snapToGrid w:val="0"/>
      <w:lang w:val="cs-CZ" w:eastAsia="en-GB"/>
    </w:rPr>
  </w:style>
  <w:style w:type="paragraph" w:customStyle="1" w:styleId="ListNumber4Level4">
    <w:name w:val="List Number 4 (Level 4)"/>
    <w:basedOn w:val="Normln"/>
    <w:rsid w:val="00E82657"/>
    <w:pPr>
      <w:tabs>
        <w:tab w:val="num" w:pos="3686"/>
      </w:tabs>
      <w:spacing w:before="120" w:after="120"/>
      <w:ind w:left="3686" w:hanging="709"/>
      <w:jc w:val="both"/>
    </w:pPr>
    <w:rPr>
      <w:snapToGrid w:val="0"/>
      <w:lang w:val="cs-CZ" w:eastAsia="en-GB"/>
    </w:rPr>
  </w:style>
  <w:style w:type="paragraph" w:customStyle="1" w:styleId="Tiret0">
    <w:name w:val="Tiret 0"/>
    <w:basedOn w:val="Point0"/>
    <w:rsid w:val="00E82657"/>
    <w:pPr>
      <w:tabs>
        <w:tab w:val="num" w:pos="850"/>
      </w:tabs>
    </w:pPr>
    <w:rPr>
      <w:snapToGrid/>
      <w:szCs w:val="20"/>
      <w:lang w:val="cs-CZ" w:eastAsia="zh-CN"/>
    </w:rPr>
  </w:style>
  <w:style w:type="paragraph" w:customStyle="1" w:styleId="Tiret2">
    <w:name w:val="Tiret 2"/>
    <w:basedOn w:val="Point2"/>
    <w:rsid w:val="00E82657"/>
    <w:pPr>
      <w:tabs>
        <w:tab w:val="num" w:pos="1984"/>
      </w:tabs>
    </w:pPr>
  </w:style>
  <w:style w:type="paragraph" w:customStyle="1" w:styleId="Point2">
    <w:name w:val="Point 2"/>
    <w:basedOn w:val="Normln"/>
    <w:rsid w:val="00E82657"/>
    <w:pPr>
      <w:spacing w:before="120" w:after="120"/>
      <w:ind w:left="1984" w:hanging="567"/>
      <w:jc w:val="both"/>
    </w:pPr>
    <w:rPr>
      <w:szCs w:val="20"/>
      <w:lang w:val="cs-CZ" w:eastAsia="zh-CN"/>
    </w:rPr>
  </w:style>
  <w:style w:type="paragraph" w:customStyle="1" w:styleId="Tiret3">
    <w:name w:val="Tiret 3"/>
    <w:basedOn w:val="Point3"/>
    <w:rsid w:val="00E82657"/>
    <w:pPr>
      <w:tabs>
        <w:tab w:val="num" w:pos="2551"/>
      </w:tabs>
    </w:pPr>
    <w:rPr>
      <w:snapToGrid/>
      <w:szCs w:val="20"/>
      <w:lang w:val="cs-CZ" w:eastAsia="zh-CN"/>
    </w:rPr>
  </w:style>
  <w:style w:type="paragraph" w:customStyle="1" w:styleId="Tiret4">
    <w:name w:val="Tiret 4"/>
    <w:basedOn w:val="Point4"/>
    <w:rsid w:val="00E82657"/>
    <w:pPr>
      <w:tabs>
        <w:tab w:val="num" w:pos="3118"/>
      </w:tabs>
    </w:pPr>
  </w:style>
  <w:style w:type="paragraph" w:customStyle="1" w:styleId="Point4">
    <w:name w:val="Point 4"/>
    <w:basedOn w:val="Normln"/>
    <w:rsid w:val="00E82657"/>
    <w:pPr>
      <w:spacing w:before="120" w:after="120"/>
      <w:ind w:left="3118" w:hanging="567"/>
      <w:jc w:val="both"/>
    </w:pPr>
    <w:rPr>
      <w:szCs w:val="20"/>
      <w:lang w:val="cs-CZ" w:eastAsia="zh-CN"/>
    </w:rPr>
  </w:style>
  <w:style w:type="paragraph" w:customStyle="1" w:styleId="NumPar2">
    <w:name w:val="NumPar 2"/>
    <w:basedOn w:val="Normln"/>
    <w:next w:val="Text2"/>
    <w:rsid w:val="00E82657"/>
    <w:pPr>
      <w:spacing w:before="120" w:after="120"/>
      <w:jc w:val="both"/>
    </w:pPr>
    <w:rPr>
      <w:szCs w:val="20"/>
      <w:lang w:val="cs-CZ" w:eastAsia="zh-CN"/>
    </w:rPr>
  </w:style>
  <w:style w:type="paragraph" w:customStyle="1" w:styleId="Text2">
    <w:name w:val="Text 2"/>
    <w:basedOn w:val="Normln"/>
    <w:rsid w:val="00E82657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NumPar3">
    <w:name w:val="NumPar 3"/>
    <w:basedOn w:val="Normln"/>
    <w:next w:val="Text3"/>
    <w:rsid w:val="00E82657"/>
    <w:pPr>
      <w:spacing w:before="120" w:after="120"/>
      <w:jc w:val="both"/>
    </w:pPr>
    <w:rPr>
      <w:szCs w:val="20"/>
      <w:lang w:val="cs-CZ" w:eastAsia="zh-CN"/>
    </w:rPr>
  </w:style>
  <w:style w:type="paragraph" w:customStyle="1" w:styleId="Text3">
    <w:name w:val="Text 3"/>
    <w:basedOn w:val="Normln"/>
    <w:rsid w:val="00E82657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NumPar4">
    <w:name w:val="NumPar 4"/>
    <w:basedOn w:val="Normln"/>
    <w:next w:val="Text4"/>
    <w:rsid w:val="00E82657"/>
    <w:pPr>
      <w:spacing w:before="120" w:after="120"/>
      <w:jc w:val="both"/>
    </w:pPr>
    <w:rPr>
      <w:szCs w:val="20"/>
      <w:lang w:val="cs-CZ" w:eastAsia="zh-CN"/>
    </w:rPr>
  </w:style>
  <w:style w:type="paragraph" w:customStyle="1" w:styleId="ListBullet1">
    <w:name w:val="List Bullet 1"/>
    <w:basedOn w:val="Normln"/>
    <w:rsid w:val="00E82657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">
    <w:name w:val="List Dash"/>
    <w:basedOn w:val="Normln"/>
    <w:rsid w:val="00E82657"/>
    <w:pPr>
      <w:tabs>
        <w:tab w:val="num" w:pos="283"/>
      </w:tabs>
      <w:spacing w:before="120" w:after="120"/>
      <w:ind w:left="283" w:hanging="283"/>
      <w:jc w:val="both"/>
    </w:pPr>
    <w:rPr>
      <w:szCs w:val="20"/>
      <w:lang w:val="cs-CZ" w:eastAsia="zh-CN"/>
    </w:rPr>
  </w:style>
  <w:style w:type="paragraph" w:customStyle="1" w:styleId="ListDash1">
    <w:name w:val="List Dash 1"/>
    <w:basedOn w:val="Normln"/>
    <w:rsid w:val="00E82657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2">
    <w:name w:val="List Dash 2"/>
    <w:basedOn w:val="Normln"/>
    <w:rsid w:val="00E82657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3">
    <w:name w:val="List Dash 3"/>
    <w:basedOn w:val="Normln"/>
    <w:rsid w:val="00E82657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4">
    <w:name w:val="List Dash 4"/>
    <w:basedOn w:val="Normln"/>
    <w:rsid w:val="00E82657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Number1">
    <w:name w:val="List Number 1"/>
    <w:basedOn w:val="Text1"/>
    <w:rsid w:val="00E82657"/>
    <w:pPr>
      <w:tabs>
        <w:tab w:val="num" w:pos="1560"/>
      </w:tabs>
      <w:ind w:left="1560" w:hanging="709"/>
    </w:pPr>
    <w:rPr>
      <w:lang w:val="cs-CZ" w:eastAsia="zh-CN"/>
    </w:rPr>
  </w:style>
  <w:style w:type="paragraph" w:customStyle="1" w:styleId="ListNumberLevel2">
    <w:name w:val="List Number (Level 2)"/>
    <w:basedOn w:val="Normln"/>
    <w:rsid w:val="00E82657"/>
    <w:pPr>
      <w:tabs>
        <w:tab w:val="num" w:pos="1417"/>
      </w:tabs>
      <w:spacing w:before="120" w:after="120"/>
      <w:ind w:left="1417" w:hanging="708"/>
      <w:jc w:val="both"/>
    </w:pPr>
    <w:rPr>
      <w:szCs w:val="20"/>
      <w:lang w:val="cs-CZ" w:eastAsia="zh-CN"/>
    </w:rPr>
  </w:style>
  <w:style w:type="paragraph" w:customStyle="1" w:styleId="ListNumber1Level2">
    <w:name w:val="List Number 1 (Level 2)"/>
    <w:basedOn w:val="Text1"/>
    <w:rsid w:val="00E82657"/>
    <w:pPr>
      <w:tabs>
        <w:tab w:val="num" w:pos="2268"/>
      </w:tabs>
      <w:ind w:left="2268" w:hanging="708"/>
    </w:pPr>
    <w:rPr>
      <w:lang w:val="cs-CZ" w:eastAsia="zh-CN"/>
    </w:rPr>
  </w:style>
  <w:style w:type="paragraph" w:customStyle="1" w:styleId="ListNumber2Level2">
    <w:name w:val="List Number 2 (Level 2)"/>
    <w:basedOn w:val="Text2"/>
    <w:rsid w:val="00E82657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E82657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ln"/>
    <w:rsid w:val="00E82657"/>
    <w:pPr>
      <w:tabs>
        <w:tab w:val="num" w:pos="2126"/>
      </w:tabs>
      <w:spacing w:before="120" w:after="120"/>
      <w:ind w:left="2126" w:hanging="709"/>
      <w:jc w:val="both"/>
    </w:pPr>
    <w:rPr>
      <w:szCs w:val="20"/>
      <w:lang w:val="cs-CZ" w:eastAsia="zh-CN"/>
    </w:rPr>
  </w:style>
  <w:style w:type="paragraph" w:customStyle="1" w:styleId="ListNumber1Level3">
    <w:name w:val="List Number 1 (Level 3)"/>
    <w:basedOn w:val="Text1"/>
    <w:rsid w:val="00E82657"/>
    <w:pPr>
      <w:tabs>
        <w:tab w:val="num" w:pos="2977"/>
      </w:tabs>
      <w:ind w:left="2977" w:hanging="709"/>
    </w:pPr>
    <w:rPr>
      <w:lang w:val="cs-CZ" w:eastAsia="zh-CN"/>
    </w:rPr>
  </w:style>
  <w:style w:type="paragraph" w:customStyle="1" w:styleId="ListNumber2Level3">
    <w:name w:val="List Number 2 (Level 3)"/>
    <w:basedOn w:val="Text2"/>
    <w:rsid w:val="00E82657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E82657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ln"/>
    <w:rsid w:val="00E82657"/>
    <w:pPr>
      <w:tabs>
        <w:tab w:val="num" w:pos="2835"/>
      </w:tabs>
      <w:spacing w:before="120" w:after="120"/>
      <w:ind w:left="2835" w:hanging="709"/>
      <w:jc w:val="both"/>
    </w:pPr>
    <w:rPr>
      <w:szCs w:val="20"/>
      <w:lang w:val="cs-CZ" w:eastAsia="zh-CN"/>
    </w:rPr>
  </w:style>
  <w:style w:type="paragraph" w:customStyle="1" w:styleId="ListNumber1Level4">
    <w:name w:val="List Number 1 (Level 4)"/>
    <w:basedOn w:val="Text1"/>
    <w:rsid w:val="00E82657"/>
    <w:pPr>
      <w:tabs>
        <w:tab w:val="num" w:pos="3686"/>
      </w:tabs>
      <w:ind w:left="3686" w:hanging="709"/>
    </w:pPr>
    <w:rPr>
      <w:lang w:val="cs-CZ" w:eastAsia="zh-CN"/>
    </w:rPr>
  </w:style>
  <w:style w:type="paragraph" w:customStyle="1" w:styleId="ListNumber2Level4">
    <w:name w:val="List Number 2 (Level 4)"/>
    <w:basedOn w:val="Text2"/>
    <w:rsid w:val="00E82657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E82657"/>
    <w:pPr>
      <w:tabs>
        <w:tab w:val="num" w:pos="3686"/>
      </w:tabs>
      <w:ind w:left="3686" w:hanging="709"/>
    </w:pPr>
  </w:style>
  <w:style w:type="paragraph" w:customStyle="1" w:styleId="Considrant">
    <w:name w:val="Considérant"/>
    <w:basedOn w:val="Normln"/>
    <w:rsid w:val="00E82657"/>
    <w:pPr>
      <w:tabs>
        <w:tab w:val="num" w:pos="709"/>
      </w:tabs>
      <w:spacing w:before="120" w:after="120"/>
      <w:ind w:left="709" w:hanging="709"/>
      <w:jc w:val="both"/>
    </w:pPr>
    <w:rPr>
      <w:szCs w:val="20"/>
      <w:lang w:val="cs-CZ" w:eastAsia="zh-CN"/>
    </w:rPr>
  </w:style>
  <w:style w:type="paragraph" w:styleId="Textbubliny">
    <w:name w:val="Balloon Text"/>
    <w:basedOn w:val="Normln"/>
    <w:link w:val="TextbublinyChar"/>
    <w:semiHidden/>
    <w:rsid w:val="00E82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82657"/>
    <w:rPr>
      <w:rFonts w:ascii="Tahoma" w:eastAsia="Times New Roman" w:hAnsi="Tahoma" w:cs="Tahoma"/>
      <w:sz w:val="16"/>
      <w:szCs w:val="16"/>
      <w:lang w:val="en-GB" w:eastAsia="cs-CZ"/>
    </w:rPr>
  </w:style>
  <w:style w:type="paragraph" w:customStyle="1" w:styleId="HeaderLandscape">
    <w:name w:val="HeaderLandscape"/>
    <w:basedOn w:val="Normln"/>
    <w:rsid w:val="00E82657"/>
    <w:pPr>
      <w:tabs>
        <w:tab w:val="right" w:pos="14003"/>
      </w:tabs>
      <w:spacing w:before="120" w:after="120"/>
      <w:jc w:val="both"/>
    </w:pPr>
    <w:rPr>
      <w:snapToGrid w:val="0"/>
      <w:szCs w:val="20"/>
      <w:lang w:val="cs-CZ" w:eastAsia="en-GB"/>
    </w:rPr>
  </w:style>
  <w:style w:type="paragraph" w:customStyle="1" w:styleId="Default">
    <w:name w:val="Default"/>
    <w:rsid w:val="00E82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E82657"/>
  </w:style>
  <w:style w:type="table" w:styleId="Mkatabulky">
    <w:name w:val="Table Grid"/>
    <w:basedOn w:val="Normlntabulka"/>
    <w:rsid w:val="00E82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E826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E82657"/>
    <w:rPr>
      <w:rFonts w:ascii="EUAlbertina" w:hAnsi="EUAlbertina"/>
      <w:color w:val="auto"/>
    </w:rPr>
  </w:style>
  <w:style w:type="paragraph" w:styleId="Odstavecseseznamem">
    <w:name w:val="List Paragraph"/>
    <w:basedOn w:val="Normln"/>
    <w:uiPriority w:val="34"/>
    <w:qFormat/>
    <w:rsid w:val="003E60A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57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jrc/en/eurl/feed-additives/evaluation-reports" TargetMode="External"/><Relationship Id="rId18" Type="http://schemas.openxmlformats.org/officeDocument/2006/relationships/header" Target="header3.xml"/><Relationship Id="rId26" Type="http://schemas.openxmlformats.org/officeDocument/2006/relationships/hyperlink" Target="http://europa.eu.int/eur-lex/lex/LexUriServ/site/cs/oj/2004/l_243/l_24320040715cs00150017.pdf" TargetMode="External"/><Relationship Id="rId39" Type="http://schemas.openxmlformats.org/officeDocument/2006/relationships/hyperlink" Target="http://eur-lex.europa.eu/LexUriServ/LexUriServ.do?uri=OJ:L:2007:031:0004:0005:CS:PDF" TargetMode="External"/><Relationship Id="rId21" Type="http://schemas.openxmlformats.org/officeDocument/2006/relationships/hyperlink" Target="http://europa.eu.int/eur-lex/pri/en/oj/dat/2001/l_130/l_13020010512en00250032.pdf" TargetMode="External"/><Relationship Id="rId34" Type="http://schemas.openxmlformats.org/officeDocument/2006/relationships/hyperlink" Target="http://europa.eu.int/eur-lex/lex/LexUriServ/site/cs/oj/2005/l_328/l_32820051215cs00210026.pdf" TargetMode="External"/><Relationship Id="rId42" Type="http://schemas.openxmlformats.org/officeDocument/2006/relationships/hyperlink" Target="http://eur-lex.europa.eu/LexUriServ/site/cs/oj/2007/l_335/l_33520071220cs00150016.pdf" TargetMode="External"/><Relationship Id="rId47" Type="http://schemas.openxmlformats.org/officeDocument/2006/relationships/hyperlink" Target="http://eur-lex.europa.eu/LexUriServ/LexUriServ.do?uri=OJ:L:2008:266:0003:0007:CS:PDF" TargetMode="External"/><Relationship Id="rId50" Type="http://schemas.openxmlformats.org/officeDocument/2006/relationships/hyperlink" Target="http://eur-lex.europa.eu/LexUriServ/LexUriServ.do?uri=OJ:L:2009:034:0005:0007:CS:PDF" TargetMode="External"/><Relationship Id="rId55" Type="http://schemas.openxmlformats.org/officeDocument/2006/relationships/hyperlink" Target="http://eur-lex.europa.eu/LexUriServ/LexUriServ.do?uri=OJ:L:2010:265:0005:0008:CS:PDF" TargetMode="External"/><Relationship Id="rId63" Type="http://schemas.openxmlformats.org/officeDocument/2006/relationships/hyperlink" Target="http://eur-lex.europa.eu/LexUriServ/LexUriServ.do?uri=OJ:L:2011:229:0009:0011:CS:PDF" TargetMode="External"/><Relationship Id="rId68" Type="http://schemas.openxmlformats.org/officeDocument/2006/relationships/hyperlink" Target="http://eur-lex.europa.eu/LexUriServ/LexUriServ.do?uri=OJ:L:2013:192:0035:0038:CS:PDF" TargetMode="External"/><Relationship Id="rId76" Type="http://schemas.openxmlformats.org/officeDocument/2006/relationships/hyperlink" Target="https://eur-lex.europa.eu/legal-content/CS/TXT/PDF/?uri=CELEX:32019R0138&amp;qid=1549890094960&amp;from=CS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eur-lex.europa.eu/legal-content/CS/TXT/PDF/?uri=CELEX:32015R0046&amp;rid=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http://europa.eu.int/eur-lex/lex/LexUriServ/site/cs/oj/2004/l_270/l_27020040818cs00050007.pdf" TargetMode="External"/><Relationship Id="rId11" Type="http://schemas.openxmlformats.org/officeDocument/2006/relationships/hyperlink" Target="http://irmm.jrc.ec.europa.eu/EURLs/EURL_feed_additives/Pages/index.aspx" TargetMode="External"/><Relationship Id="rId24" Type="http://schemas.openxmlformats.org/officeDocument/2006/relationships/hyperlink" Target="http://europa.eu.int/eur-lex/pri/en/oj/dat/2003/l_026/l_02620030131en00030004.pdf" TargetMode="External"/><Relationship Id="rId32" Type="http://schemas.openxmlformats.org/officeDocument/2006/relationships/hyperlink" Target="http://europa.eu.int/eur-lex/pri/en/oj/dat/1999/l_296/l_29619991117en00030011.pdf" TargetMode="External"/><Relationship Id="rId37" Type="http://schemas.openxmlformats.org/officeDocument/2006/relationships/hyperlink" Target="http://eur-lex.europa.eu/LexUriServ/LexUriServ.do?uri=OJ:L:2007:031:0006:0008:CS:PDF" TargetMode="External"/><Relationship Id="rId40" Type="http://schemas.openxmlformats.org/officeDocument/2006/relationships/hyperlink" Target="http://eur-lex.europa.eu/LexUriServ/LexUriServ.do?uri=OJ:L:2007:117:0009:0010:CS:PDF" TargetMode="External"/><Relationship Id="rId45" Type="http://schemas.openxmlformats.org/officeDocument/2006/relationships/hyperlink" Target="http://eur-lex.europa.eu/LexUriServ/LexUriServ.do?uri=OJ:L:2008:158:0003:0004:CS:PDF" TargetMode="External"/><Relationship Id="rId53" Type="http://schemas.openxmlformats.org/officeDocument/2006/relationships/hyperlink" Target="http://eur-lex.europa.eu/LexUriServ/LexUriServ.do?uri=OJ:L:2010:263:0004:0006:CS:PDF" TargetMode="External"/><Relationship Id="rId58" Type="http://schemas.openxmlformats.org/officeDocument/2006/relationships/hyperlink" Target="http://eur-lex.europa.eu/LexUriServ/LexUriServ.do?uri=OJ:L:2011:104:0003:0006:CS:PDF" TargetMode="External"/><Relationship Id="rId66" Type="http://schemas.openxmlformats.org/officeDocument/2006/relationships/hyperlink" Target="http://eur-lex.europa.eu/LexUriServ/LexUriServ.do?uri=OJ:L:2012:038:0036:0039:CS:PDF" TargetMode="External"/><Relationship Id="rId74" Type="http://schemas.openxmlformats.org/officeDocument/2006/relationships/hyperlink" Target="http://eur-lex.europa.eu/legal-content/CS/TXT/PDF/?uri=CELEX:32017R1914&amp;rid=1" TargetMode="External"/><Relationship Id="rId79" Type="http://schemas.openxmlformats.org/officeDocument/2006/relationships/hyperlink" Target="https://eur-lex.europa.eu/legal-content/CS/TXT/PDF/?uri=CELEX:32021R2047&amp;qid=1641893423532&amp;from=C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ur-lex.europa.eu/LexUriServ/LexUriServ.do?uri=OJ:L:2011:146:0007:0010:CS:PDF" TargetMode="External"/><Relationship Id="rId82" Type="http://schemas.openxmlformats.org/officeDocument/2006/relationships/header" Target="header4.xml"/><Relationship Id="rId10" Type="http://schemas.openxmlformats.org/officeDocument/2006/relationships/hyperlink" Target="https://joint-research-centre.ec.europa.eu/eurl-fa-eurl-feed-additives/eurl-fa-authorisation/eurl-fa-evaluation-reports_en" TargetMode="External"/><Relationship Id="rId19" Type="http://schemas.openxmlformats.org/officeDocument/2006/relationships/footer" Target="footer3.xml"/><Relationship Id="rId31" Type="http://schemas.openxmlformats.org/officeDocument/2006/relationships/hyperlink" Target="http://europa.eu.int/eur-lex/lex/LexUriServ/site/cs/oj/2004/l_317/l_31720041016cs00370039.pdf" TargetMode="External"/><Relationship Id="rId44" Type="http://schemas.openxmlformats.org/officeDocument/2006/relationships/hyperlink" Target="http://eur-lex.europa.eu/LexUriServ/LexUriServ.do?uri=OJ:L:2008:050:0014:0016:CS:PDF" TargetMode="External"/><Relationship Id="rId52" Type="http://schemas.openxmlformats.org/officeDocument/2006/relationships/hyperlink" Target="http://eur-lex.europa.eu/LexUriServ/LexUriServ.do?uri=OJ:L:2010:265:0004:0004:CS:PDF" TargetMode="External"/><Relationship Id="rId60" Type="http://schemas.openxmlformats.org/officeDocument/2006/relationships/hyperlink" Target="http://eur-lex.europa.eu/LexUriServ/LexUriServ.do?uri=OJ:L:2011:134:0006:0008:CS:PDF" TargetMode="External"/><Relationship Id="rId65" Type="http://schemas.openxmlformats.org/officeDocument/2006/relationships/hyperlink" Target="http://eur-lex.europa.eu/LexUriServ/LexUriServ.do?uri=OJ:L:2012:047:0018:0019:CS:PDF" TargetMode="External"/><Relationship Id="rId73" Type="http://schemas.openxmlformats.org/officeDocument/2006/relationships/hyperlink" Target="http://eur-lex.europa.eu/legal-content/CS/TXT/PDF/?uri=CELEX:32016R0842&amp;rid=1" TargetMode="External"/><Relationship Id="rId78" Type="http://schemas.openxmlformats.org/officeDocument/2006/relationships/hyperlink" Target="https://eur-lex.europa.eu/legal-content/CS/TXT/PDF/?uri=CELEX:32020R0994&amp;qid=1597331770721&amp;from=CS" TargetMode="External"/><Relationship Id="rId81" Type="http://schemas.openxmlformats.org/officeDocument/2006/relationships/hyperlink" Target="https://eur-lex.europa.eu/legal-content/CS/TXT/PDF/?uri=OJ:L_202400231&amp;qid=1706100762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mm.jrc.be/eurl-feed-additives" TargetMode="External"/><Relationship Id="rId14" Type="http://schemas.openxmlformats.org/officeDocument/2006/relationships/header" Target="header1.xml"/><Relationship Id="rId22" Type="http://schemas.openxmlformats.org/officeDocument/2006/relationships/hyperlink" Target="http://europa.eu.int/eur-lex/pri/en/oj/dat/2001/l_321/l_32120011206en00180019.pdf" TargetMode="External"/><Relationship Id="rId27" Type="http://schemas.openxmlformats.org/officeDocument/2006/relationships/hyperlink" Target="http://europa.eu.int/eur-lex/lex/LexUriServ/site/cs/oj/2004/l_251/l_25120040727cs00060008.pdf" TargetMode="External"/><Relationship Id="rId30" Type="http://schemas.openxmlformats.org/officeDocument/2006/relationships/hyperlink" Target="http://europa.eu.int/eur-lex/lex/LexUriServ/site/cs/oj/2004/l_270/l_27020040818cs00080010.pdf" TargetMode="External"/><Relationship Id="rId35" Type="http://schemas.openxmlformats.org/officeDocument/2006/relationships/hyperlink" Target="http://europa.eu.int/eur-lex/lex/LexUriServ/site/cs/oj/2006/l_042/l_04220060214cs00220023.pdf" TargetMode="External"/><Relationship Id="rId43" Type="http://schemas.openxmlformats.org/officeDocument/2006/relationships/hyperlink" Target="http://eur-lex.europa.eu/LexUriServ/LexUriServ.do?uri=OJ:L:2008:048:0014:0015:CS:PDF" TargetMode="External"/><Relationship Id="rId48" Type="http://schemas.openxmlformats.org/officeDocument/2006/relationships/hyperlink" Target="http://eur-lex.europa.eu/LexUriServ/LexUriServ.do?uri=OJ:L:2008:298:0003:0004:CS:PDF" TargetMode="External"/><Relationship Id="rId56" Type="http://schemas.openxmlformats.org/officeDocument/2006/relationships/hyperlink" Target="http://eur-lex.europa.eu/LexUriServ/LexUriServ.do?uri=OJ:L:2010:317:0005:0008:CS:PDF" TargetMode="External"/><Relationship Id="rId64" Type="http://schemas.openxmlformats.org/officeDocument/2006/relationships/hyperlink" Target="http://eur-lex.europa.eu/LexUriServ/LexUriServ.do?uri=OJ:L:2011:231:0015:0016:CS:PDF" TargetMode="External"/><Relationship Id="rId69" Type="http://schemas.openxmlformats.org/officeDocument/2006/relationships/hyperlink" Target="http://eur-lex.europa.eu/LexUriServ/LexUriServ.do?uri=OJ:L:2013:281:0001:0003:CS:PDF" TargetMode="External"/><Relationship Id="rId77" Type="http://schemas.openxmlformats.org/officeDocument/2006/relationships/hyperlink" Target="https://eur-lex.europa.eu/legal-content/CS/TXT/PDF/?uri=CELEX:32020R0148&amp;qid=1590500413010&amp;from=CS" TargetMode="External"/><Relationship Id="rId8" Type="http://schemas.openxmlformats.org/officeDocument/2006/relationships/hyperlink" Target="https://ec.europa.eu/jrc/en/eurl/feed-additives/evaluation-reports" TargetMode="External"/><Relationship Id="rId51" Type="http://schemas.openxmlformats.org/officeDocument/2006/relationships/hyperlink" Target="http://eur-lex.europa.eu/LexUriServ/LexUriServ.do?uri=OJ:L:2009:073:0012:0016:CS:PDF" TargetMode="External"/><Relationship Id="rId72" Type="http://schemas.openxmlformats.org/officeDocument/2006/relationships/hyperlink" Target="http://eur-lex.europa.eu/legal-content/CS/TXT/PDF/?uri=CELEX:32015R1417&amp;rid=1" TargetMode="External"/><Relationship Id="rId80" Type="http://schemas.openxmlformats.org/officeDocument/2006/relationships/hyperlink" Target="https://eur-lex.europa.eu/legal-content/CS/TXT/PDF/?uri=CELEX:32021R2094&amp;qid=1642077253728&amp;from=C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c.europa.eu/jrc/en/eurl/feed-additives/evaluation-reports" TargetMode="External"/><Relationship Id="rId17" Type="http://schemas.openxmlformats.org/officeDocument/2006/relationships/footer" Target="footer2.xml"/><Relationship Id="rId25" Type="http://schemas.openxmlformats.org/officeDocument/2006/relationships/hyperlink" Target="http://europa.eu.int/eur-lex/pri/en/oj/dat/2003/l_271/l_27120031022en00130014.pdf" TargetMode="External"/><Relationship Id="rId33" Type="http://schemas.openxmlformats.org/officeDocument/2006/relationships/hyperlink" Target="http://europa.eu.int/eur-lex/lex/LexUriServ/site/cs/oj/2005/l_099/l_09920050419cs00050009.pdf" TargetMode="External"/><Relationship Id="rId38" Type="http://schemas.openxmlformats.org/officeDocument/2006/relationships/hyperlink" Target="http://eur-lex.europa.eu/LexUriServ/site/cs/oj/2006/l_094/l_09420060401cs00260027.pdf" TargetMode="External"/><Relationship Id="rId46" Type="http://schemas.openxmlformats.org/officeDocument/2006/relationships/hyperlink" Target="http://eur-lex.europa.eu/LexUriServ/LexUriServ.do?uri=OJ:L:2008:265:0003:0005:CS:PDF" TargetMode="External"/><Relationship Id="rId59" Type="http://schemas.openxmlformats.org/officeDocument/2006/relationships/hyperlink" Target="http://eur-lex.europa.eu/LexUriServ/LexUriServ.do?uri=OJ:L:2011:108:0011:0012:CS:PDF" TargetMode="External"/><Relationship Id="rId67" Type="http://schemas.openxmlformats.org/officeDocument/2006/relationships/hyperlink" Target="http://eur-lex.europa.eu/LexUriServ/LexUriServ.do?uri=OJ:L:2013:049:0050:0051:CS:PDF" TargetMode="External"/><Relationship Id="rId20" Type="http://schemas.openxmlformats.org/officeDocument/2006/relationships/hyperlink" Target="http://europa.eu.int/eur-lex/pri/en/oj/dat/2001/l_062/l_06220010302en00030010.pdf" TargetMode="External"/><Relationship Id="rId41" Type="http://schemas.openxmlformats.org/officeDocument/2006/relationships/hyperlink" Target="http://eur-lex.europa.eu/LexUriServ/site/cs/oj/2007/l_118/l_11820070508cs00030004.pdf" TargetMode="External"/><Relationship Id="rId54" Type="http://schemas.openxmlformats.org/officeDocument/2006/relationships/hyperlink" Target="http://eur-lex.europa.eu/LexUriServ/LexUriServ.do?uri=OJ:L:2010:263:0001:0003:CS:PDF" TargetMode="External"/><Relationship Id="rId62" Type="http://schemas.openxmlformats.org/officeDocument/2006/relationships/hyperlink" Target="http://eur-lex.europa.eu/LexUriServ/LexUriServ.do?uri=OJ:L:2011:146:0007:0010:CS:PDF" TargetMode="External"/><Relationship Id="rId70" Type="http://schemas.openxmlformats.org/officeDocument/2006/relationships/hyperlink" Target="http://eur-lex.europa.eu/legal-content/CS/TXT/PDF/?uri=CELEX:32014R0291&amp;qid=1396959396302&amp;from=CS" TargetMode="External"/><Relationship Id="rId75" Type="http://schemas.openxmlformats.org/officeDocument/2006/relationships/hyperlink" Target="https://eur-lex.europa.eu/legal-content/CS/TXT/PDF/?uri=CELEX:32018R1957&amp;qid=1548076425900&amp;from=CS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europa.eu.int/eur-lex/pri/en/oj/dat/2002/l_157/l_15720020615en00410042.pdf" TargetMode="External"/><Relationship Id="rId28" Type="http://schemas.openxmlformats.org/officeDocument/2006/relationships/hyperlink" Target="http://europa.eu.int/eur-lex/lex/LexUriServ/site/cs/oj/2004/l_269/l_26920040817cs00140016.pdf" TargetMode="External"/><Relationship Id="rId36" Type="http://schemas.openxmlformats.org/officeDocument/2006/relationships/hyperlink" Target="http://eur-lex.europa.eu/LexUriServ/site/cs/oj/2006/l_271/l_27120060930cs00120018.pdf" TargetMode="External"/><Relationship Id="rId49" Type="http://schemas.openxmlformats.org/officeDocument/2006/relationships/hyperlink" Target="http://eur-lex.europa.eu/LexUriServ/LexUriServ.do?uri=OJ:L:2008:298:0005:0006:CS:PDF" TargetMode="External"/><Relationship Id="rId57" Type="http://schemas.openxmlformats.org/officeDocument/2006/relationships/hyperlink" Target="http://eur-lex.europa.eu/LexUriServ/LexUriServ.do?uri=OJ:L:2011:049:0006:0007:CS: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1E16-41F2-4F28-B77C-098BC23E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37</Pages>
  <Words>8515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</dc:creator>
  <cp:keywords/>
  <dc:description/>
  <cp:lastModifiedBy>Hlavová Zora</cp:lastModifiedBy>
  <cp:revision>394</cp:revision>
  <dcterms:created xsi:type="dcterms:W3CDTF">2016-07-21T11:43:00Z</dcterms:created>
  <dcterms:modified xsi:type="dcterms:W3CDTF">2024-01-24T12:54:00Z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2020-01-23T10:10:35.5153055Z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9d7a99e6-bdc8-474c-9037-abd75ef6a388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