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3E" w:rsidRDefault="00D92FAC">
      <w:pPr>
        <w:pStyle w:val="Textbody"/>
        <w:spacing w:before="27" w:after="0" w:line="430" w:lineRule="exact"/>
        <w:ind w:left="2828" w:right="288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KUPNÍ </w:t>
      </w:r>
      <w:r>
        <w:rPr>
          <w:rFonts w:ascii="Times New Roman" w:hAnsi="Times New Roman" w:cs="Times New Roman"/>
          <w:b/>
          <w:bCs/>
          <w:spacing w:val="-1"/>
        </w:rPr>
        <w:t>SMLOUVA č.</w:t>
      </w:r>
    </w:p>
    <w:p w:rsidR="0038123E" w:rsidRDefault="0038123E">
      <w:pPr>
        <w:pStyle w:val="Textbody"/>
        <w:spacing w:line="284" w:lineRule="exact"/>
        <w:ind w:left="2829" w:right="2889"/>
        <w:jc w:val="center"/>
        <w:rPr>
          <w:rFonts w:ascii="Times New Roman" w:hAnsi="Times New Roman" w:cs="Times New Roman"/>
          <w:b/>
          <w:bCs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uzavřená tohoto dne, měsíce, roku mezi níže uvedenými stranami v souladu s § 2079 a násl. zákona č. 89/2012 Sb., občanského zákoníku, v platném a účinném znění: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Firma: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>Sídlo: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>IČ: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č.ú</w:t>
      </w:r>
      <w:proofErr w:type="spellEnd"/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ab/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za níž jedná: </w:t>
      </w:r>
      <w:r>
        <w:rPr>
          <w:sz w:val="23"/>
          <w:szCs w:val="23"/>
        </w:rPr>
        <w:tab/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 xml:space="preserve">zapsaná u: </w:t>
      </w:r>
      <w:r>
        <w:t xml:space="preserve"> </w:t>
      </w: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(dále jen ”</w:t>
      </w:r>
      <w:r>
        <w:rPr>
          <w:b/>
          <w:i/>
          <w:sz w:val="23"/>
          <w:szCs w:val="23"/>
        </w:rPr>
        <w:t>prodávající</w:t>
      </w:r>
      <w:r>
        <w:rPr>
          <w:sz w:val="23"/>
          <w:szCs w:val="23"/>
        </w:rPr>
        <w:t>”)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b/>
          <w:sz w:val="23"/>
          <w:szCs w:val="23"/>
        </w:rPr>
        <w:t xml:space="preserve">Firma: Lubomír </w:t>
      </w:r>
      <w:proofErr w:type="spellStart"/>
      <w:r>
        <w:rPr>
          <w:b/>
          <w:sz w:val="23"/>
          <w:szCs w:val="23"/>
        </w:rPr>
        <w:t>Belfín</w:t>
      </w:r>
      <w:proofErr w:type="spellEnd"/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>Sídlo: Novosady 82, 768 42 Prusinovice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>IČ:</w:t>
      </w:r>
      <w:r>
        <w:rPr>
          <w:b/>
          <w:sz w:val="23"/>
          <w:szCs w:val="23"/>
        </w:rPr>
        <w:t xml:space="preserve"> 75747103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  <w:t>CZ8411171978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proofErr w:type="spellStart"/>
      <w:r>
        <w:rPr>
          <w:b/>
          <w:sz w:val="23"/>
          <w:szCs w:val="23"/>
        </w:rPr>
        <w:t>č.ú</w:t>
      </w:r>
      <w:proofErr w:type="spellEnd"/>
      <w:r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ab/>
        <w:t>281978389/0300 (ČSOB)</w:t>
      </w:r>
    </w:p>
    <w:p w:rsidR="0038123E" w:rsidRDefault="00D92FA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</w:rPr>
      </w:pPr>
      <w:r>
        <w:rPr>
          <w:sz w:val="23"/>
          <w:szCs w:val="23"/>
        </w:rPr>
        <w:t xml:space="preserve">za níž jedná: </w:t>
      </w:r>
      <w:r>
        <w:rPr>
          <w:sz w:val="23"/>
          <w:szCs w:val="23"/>
        </w:rPr>
        <w:tab/>
        <w:t xml:space="preserve">Lubomír </w:t>
      </w:r>
      <w:proofErr w:type="spellStart"/>
      <w:r>
        <w:rPr>
          <w:sz w:val="23"/>
          <w:szCs w:val="23"/>
        </w:rPr>
        <w:t>Belfín</w:t>
      </w:r>
      <w:proofErr w:type="spellEnd"/>
    </w:p>
    <w:p w:rsidR="0038123E" w:rsidRDefault="0038123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8" w:lineRule="auto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(dále jen ”</w:t>
      </w:r>
      <w:r>
        <w:rPr>
          <w:b/>
          <w:i/>
          <w:sz w:val="23"/>
          <w:szCs w:val="23"/>
        </w:rPr>
        <w:t>kupující</w:t>
      </w:r>
      <w:r>
        <w:rPr>
          <w:sz w:val="23"/>
          <w:szCs w:val="23"/>
        </w:rPr>
        <w:t>”)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Nadpis1"/>
        <w:spacing w:line="288" w:lineRule="auto"/>
        <w:ind w:left="3998" w:firstLine="322"/>
      </w:pPr>
      <w:r>
        <w:rPr>
          <w:rFonts w:ascii="Times New Roman" w:hAnsi="Times New Roman" w:cs="Times New Roman"/>
          <w:b w:val="0"/>
          <w:sz w:val="23"/>
          <w:szCs w:val="23"/>
        </w:rPr>
        <w:t>Předmět kupní smlouvy</w:t>
      </w:r>
    </w:p>
    <w:p w:rsidR="0038123E" w:rsidRDefault="0038123E">
      <w:pPr>
        <w:pStyle w:val="Standard"/>
        <w:rPr>
          <w:rFonts w:hint="eastAsia"/>
          <w:sz w:val="23"/>
          <w:szCs w:val="23"/>
        </w:rPr>
      </w:pPr>
    </w:p>
    <w:p w:rsidR="0038123E" w:rsidRDefault="00D92FAC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Předmětem koupě této kupní smlouvy je:</w:t>
      </w:r>
    </w:p>
    <w:p w:rsidR="0038123E" w:rsidRDefault="0038123E">
      <w:pPr>
        <w:pStyle w:val="Textbody"/>
        <w:ind w:left="360"/>
        <w:rPr>
          <w:rFonts w:ascii="Times New Roman" w:hAnsi="Times New Roman" w:cs="Times New Roman"/>
          <w:sz w:val="23"/>
          <w:szCs w:val="23"/>
        </w:rPr>
      </w:pPr>
    </w:p>
    <w:p w:rsidR="0038123E" w:rsidRDefault="00D92FAC">
      <w:pPr>
        <w:pStyle w:val="Textbody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Název stroje:</w:t>
      </w:r>
      <w:r>
        <w:rPr>
          <w:rFonts w:ascii="Times New Roman" w:hAnsi="Times New Roman" w:cs="Times New Roman"/>
          <w:b/>
          <w:sz w:val="23"/>
          <w:szCs w:val="23"/>
        </w:rPr>
        <w:tab/>
        <w:t>…………………………………….</w:t>
      </w:r>
    </w:p>
    <w:p w:rsidR="0038123E" w:rsidRDefault="00D92FAC">
      <w:pPr>
        <w:pStyle w:val="Textbody"/>
        <w:ind w:left="360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Výrobce:   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          …………………………………….</w:t>
      </w:r>
    </w:p>
    <w:p w:rsidR="0038123E" w:rsidRDefault="00D92FAC">
      <w:pPr>
        <w:pStyle w:val="Textbody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Typ stroje: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…………………………………….</w:t>
      </w:r>
    </w:p>
    <w:p w:rsidR="0038123E" w:rsidRDefault="00D92FAC">
      <w:pPr>
        <w:pStyle w:val="Textbody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Výrobní číslo:</w:t>
      </w:r>
      <w:r>
        <w:rPr>
          <w:rFonts w:ascii="Times New Roman" w:hAnsi="Times New Roman" w:cs="Times New Roman"/>
          <w:b/>
          <w:sz w:val="23"/>
          <w:szCs w:val="23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38123E" w:rsidRDefault="00D92FAC">
      <w:pPr>
        <w:pStyle w:val="Textbody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Výbava: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     ………………………………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38123E" w:rsidRDefault="00D92FAC">
      <w:pPr>
        <w:pStyle w:val="Textbody"/>
        <w:ind w:left="360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(dále jen „</w:t>
      </w:r>
      <w:r>
        <w:rPr>
          <w:rFonts w:ascii="Times New Roman" w:hAnsi="Times New Roman" w:cs="Times New Roman"/>
          <w:b/>
          <w:i/>
          <w:sz w:val="23"/>
          <w:szCs w:val="23"/>
        </w:rPr>
        <w:t>zboží</w:t>
      </w:r>
      <w:r>
        <w:rPr>
          <w:rFonts w:ascii="Times New Roman" w:hAnsi="Times New Roman" w:cs="Times New Roman"/>
          <w:sz w:val="23"/>
          <w:szCs w:val="23"/>
        </w:rPr>
        <w:t>“), včetně kompletní průvodní dokumentace.</w:t>
      </w:r>
    </w:p>
    <w:p w:rsidR="0038123E" w:rsidRDefault="0038123E">
      <w:pPr>
        <w:pStyle w:val="Textbody"/>
        <w:ind w:left="360"/>
        <w:rPr>
          <w:rFonts w:ascii="Times New Roman" w:hAnsi="Times New Roman" w:cs="Times New Roman"/>
          <w:sz w:val="23"/>
          <w:szCs w:val="23"/>
        </w:rPr>
      </w:pPr>
    </w:p>
    <w:p w:rsidR="0038123E" w:rsidRDefault="00D92FAC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Prodávající se zavazu</w:t>
      </w:r>
      <w:r>
        <w:rPr>
          <w:rFonts w:ascii="Times New Roman" w:hAnsi="Times New Roman" w:cs="Times New Roman"/>
          <w:sz w:val="23"/>
          <w:szCs w:val="23"/>
        </w:rPr>
        <w:t>je touto kupní smlouvou prodat kupujícímu výše uvedené zboží a převést na něj vlastnické právo k této movité věci. Kupující se tímto zavazuje zaplatit prodávajícímu za zboží kupní cenu stanovenou v čl. II této smlouvy.</w:t>
      </w:r>
    </w:p>
    <w:p w:rsidR="0038123E" w:rsidRDefault="0038123E">
      <w:pPr>
        <w:pStyle w:val="Textbody"/>
        <w:ind w:left="360"/>
        <w:rPr>
          <w:rFonts w:ascii="Times New Roman" w:hAnsi="Times New Roman" w:cs="Times New Roman"/>
          <w:sz w:val="23"/>
          <w:szCs w:val="23"/>
        </w:rPr>
      </w:pPr>
    </w:p>
    <w:p w:rsidR="0038123E" w:rsidRDefault="00D92FAC">
      <w:pPr>
        <w:pStyle w:val="Textbody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Prodávající prohlašuje a stvrzuje sv</w:t>
      </w:r>
      <w:r>
        <w:rPr>
          <w:rFonts w:ascii="Times New Roman" w:hAnsi="Times New Roman" w:cs="Times New Roman"/>
          <w:sz w:val="23"/>
          <w:szCs w:val="23"/>
        </w:rPr>
        <w:t>ým podpisem, že výše uvedené zboží se nachází v jeho výlučném vlastnictví a že je plně oprávněn s tímto zbožím disponovat v souladu s touto smlouvou.</w:t>
      </w: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II.</w:t>
      </w:r>
    </w:p>
    <w:p w:rsidR="0038123E" w:rsidRDefault="00D92FAC">
      <w:pPr>
        <w:pStyle w:val="Nadpis2"/>
        <w:spacing w:line="288" w:lineRule="auto"/>
        <w:ind w:left="360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Kupní cena</w:t>
      </w:r>
    </w:p>
    <w:p w:rsidR="0038123E" w:rsidRDefault="0038123E">
      <w:pPr>
        <w:pStyle w:val="Standard"/>
        <w:spacing w:line="288" w:lineRule="auto"/>
        <w:rPr>
          <w:rFonts w:hint="eastAsia"/>
          <w:sz w:val="23"/>
          <w:szCs w:val="23"/>
        </w:rPr>
      </w:pPr>
    </w:p>
    <w:p w:rsidR="0038123E" w:rsidRDefault="00D92FAC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Kupní celková cena je peněžní částka včetně daně z přidané hodnoty. Celková kupní cena dod</w:t>
      </w:r>
      <w:r>
        <w:rPr>
          <w:rFonts w:ascii="Times New Roman" w:hAnsi="Times New Roman" w:cs="Times New Roman"/>
          <w:sz w:val="23"/>
          <w:szCs w:val="23"/>
        </w:rPr>
        <w:t>ávaného zboží za kompletní dodávku byla sjednána ve výši:</w:t>
      </w:r>
    </w:p>
    <w:p w:rsidR="0038123E" w:rsidRDefault="00D92FAC">
      <w:pPr>
        <w:pStyle w:val="Textbody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Celková cena v Kč bez DPH</w:t>
      </w:r>
    </w:p>
    <w:p w:rsidR="0038123E" w:rsidRDefault="00D92FAC">
      <w:pPr>
        <w:pStyle w:val="Textbody"/>
        <w:ind w:left="360"/>
        <w:rPr>
          <w:rFonts w:hint="eastAsia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DPH v Kč 21 % </w:t>
      </w:r>
    </w:p>
    <w:p w:rsidR="0038123E" w:rsidRDefault="00D92FAC">
      <w:pPr>
        <w:pStyle w:val="Standard"/>
        <w:spacing w:line="288" w:lineRule="auto"/>
        <w:ind w:left="360"/>
        <w:jc w:val="both"/>
        <w:rPr>
          <w:rFonts w:hint="eastAsia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Celková kupní cena v Kč včetně DPH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Kupní cena bude částečně financována prostřednictvím úvěru u finančního ústavu dle vlastního výběru </w:t>
      </w:r>
      <w:r>
        <w:rPr>
          <w:sz w:val="23"/>
          <w:szCs w:val="23"/>
        </w:rPr>
        <w:t>kupujícího.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III.</w:t>
      </w: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Místo plnění, způsob a okamžik dodání</w:t>
      </w:r>
    </w:p>
    <w:p w:rsidR="0038123E" w:rsidRDefault="0038123E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3"/>
        </w:numPr>
        <w:spacing w:line="288" w:lineRule="auto"/>
        <w:ind w:left="284" w:hanging="284"/>
        <w:jc w:val="both"/>
        <w:rPr>
          <w:rFonts w:hint="eastAsia"/>
        </w:rPr>
      </w:pPr>
      <w:r>
        <w:rPr>
          <w:sz w:val="23"/>
          <w:szCs w:val="23"/>
        </w:rPr>
        <w:t>Místo plnění: areál kupujícího</w:t>
      </w:r>
    </w:p>
    <w:p w:rsidR="0038123E" w:rsidRDefault="0038123E">
      <w:pPr>
        <w:pStyle w:val="Standard"/>
        <w:spacing w:line="288" w:lineRule="auto"/>
        <w:ind w:left="284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ind w:left="284" w:hanging="284"/>
        <w:jc w:val="both"/>
        <w:rPr>
          <w:rFonts w:hint="eastAsia"/>
        </w:rPr>
      </w:pPr>
      <w:r>
        <w:rPr>
          <w:sz w:val="23"/>
          <w:szCs w:val="23"/>
        </w:rPr>
        <w:t>Termín dodání je nejpozději do 30. 4. 2020</w:t>
      </w:r>
    </w:p>
    <w:p w:rsidR="0038123E" w:rsidRDefault="0038123E">
      <w:pPr>
        <w:pStyle w:val="Standard"/>
        <w:spacing w:line="288" w:lineRule="auto"/>
        <w:ind w:left="284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ind w:left="284" w:hanging="284"/>
        <w:jc w:val="both"/>
        <w:rPr>
          <w:rFonts w:hint="eastAsia"/>
        </w:rPr>
      </w:pPr>
      <w:r>
        <w:rPr>
          <w:sz w:val="23"/>
          <w:szCs w:val="23"/>
        </w:rPr>
        <w:t>Prodávající se zavazuje provést zaškolení obsluhy stroje a uvedení do provozu na místě plnění.</w:t>
      </w: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123E" w:rsidRDefault="00D92FAC">
      <w:pPr>
        <w:pStyle w:val="Standard"/>
        <w:spacing w:line="288" w:lineRule="auto"/>
        <w:ind w:left="284" w:hanging="284"/>
        <w:jc w:val="both"/>
        <w:rPr>
          <w:rFonts w:hint="eastAsia"/>
        </w:rPr>
      </w:pPr>
      <w:r>
        <w:rPr>
          <w:sz w:val="23"/>
          <w:szCs w:val="23"/>
        </w:rPr>
        <w:t>Kupující prohlašuje, že s</w:t>
      </w:r>
      <w:r>
        <w:rPr>
          <w:sz w:val="23"/>
          <w:szCs w:val="23"/>
        </w:rPr>
        <w:t xml:space="preserve">i vlastnosti zboží předem důkladně ověřil a vlastnosti zboží jsou mu zcela známy.   </w:t>
      </w:r>
    </w:p>
    <w:p w:rsidR="0038123E" w:rsidRDefault="0038123E">
      <w:pPr>
        <w:pStyle w:val="Odstavecseseznamem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ind w:left="284" w:hanging="284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Prodávající předá kupujícímu veškeré potřebné doklady vztahující se k dodanému zboží současně s dodáním zboží – zejména návod k obsluze v českém jazyce a doklad o </w:t>
      </w:r>
      <w:r>
        <w:rPr>
          <w:sz w:val="23"/>
          <w:szCs w:val="23"/>
        </w:rPr>
        <w:t>shodě výrobku v českém jazyce.</w:t>
      </w:r>
    </w:p>
    <w:p w:rsidR="0038123E" w:rsidRDefault="0038123E">
      <w:pPr>
        <w:pStyle w:val="Odstavecseseznamem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ind w:left="284" w:hanging="284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O předání podepíší obě strany předávací protokol. Drobné vady nebránící provozu a užívání zboží nebrání předání zboží. Tyto vady budou uvedeny v předávacím protokole a zároveň smluvní strany v protokole uvedou lhůtu, ve </w:t>
      </w:r>
      <w:r>
        <w:rPr>
          <w:sz w:val="23"/>
          <w:szCs w:val="23"/>
        </w:rPr>
        <w:t>které se prodávající zaváže tyto vady odstranit.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IV.</w:t>
      </w:r>
    </w:p>
    <w:p w:rsidR="0038123E" w:rsidRDefault="00D92FAC">
      <w:pPr>
        <w:pStyle w:val="Nadpis2"/>
        <w:spacing w:line="288" w:lineRule="auto"/>
        <w:ind w:left="360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Platební podmínky</w:t>
      </w:r>
    </w:p>
    <w:p w:rsidR="0038123E" w:rsidRDefault="0038123E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4"/>
        </w:numPr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Splatnost faktury bude nejméně 30 dnů od doručení kupujícímu</w:t>
      </w:r>
      <w:r>
        <w:rPr>
          <w:sz w:val="23"/>
          <w:szCs w:val="23"/>
        </w:rPr>
        <w:t>. Při úhradě bankovním příkazem uvede kupující jako variabilní symbol číslo faktury.</w:t>
      </w:r>
      <w:bookmarkStart w:id="0" w:name="_GoBack"/>
      <w:bookmarkEnd w:id="0"/>
    </w:p>
    <w:p w:rsidR="0038123E" w:rsidRDefault="0038123E">
      <w:pPr>
        <w:pStyle w:val="Standard"/>
        <w:spacing w:line="288" w:lineRule="auto"/>
        <w:jc w:val="both"/>
        <w:rPr>
          <w:rFonts w:hint="eastAsia"/>
          <w:i/>
          <w:sz w:val="23"/>
          <w:szCs w:val="23"/>
        </w:rPr>
      </w:pPr>
    </w:p>
    <w:p w:rsidR="0038123E" w:rsidRDefault="00D92FAC">
      <w:pPr>
        <w:pStyle w:val="Textbody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V případě pozdní úhrady kupní cen</w:t>
      </w:r>
      <w:r>
        <w:rPr>
          <w:color w:val="000000"/>
          <w:sz w:val="22"/>
          <w:szCs w:val="22"/>
        </w:rPr>
        <w:t>y za dodané zboží je prodávající oprávněn požadovat smluvní pokutu ve výši 0,05 % z částky uvedené ve vystaveném daňovém dokladu za každý den prodlení.</w:t>
      </w:r>
    </w:p>
    <w:p w:rsidR="0038123E" w:rsidRDefault="00D92FAC">
      <w:pPr>
        <w:pStyle w:val="Textbody"/>
        <w:spacing w:line="270" w:lineRule="atLeast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V případě, že nebude kupujícímu poskytnuta podpora na koupi předmětu této kupní smlouvy v rámci Programu</w:t>
      </w:r>
      <w:r>
        <w:rPr>
          <w:color w:val="000000"/>
          <w:sz w:val="22"/>
          <w:szCs w:val="22"/>
        </w:rPr>
        <w:t xml:space="preserve"> rozvoje venkova, je kupující oprávněn do doby předání zboží odstoupit od smlouvy nebo ji vypovědět bez jakýchkoliv sankcí max. 3 měsíce před dodáním.</w:t>
      </w:r>
    </w:p>
    <w:p w:rsidR="0038123E" w:rsidRDefault="00D92FAC">
      <w:pPr>
        <w:pStyle w:val="Standard"/>
        <w:spacing w:after="140" w:line="270" w:lineRule="atLeast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 případě pozdního dodání zboží je kupující oprávněn požadovat smluvní pokutu ve výši 0,05 % z ceny dodáv</w:t>
      </w:r>
      <w:r>
        <w:rPr>
          <w:color w:val="000000"/>
          <w:sz w:val="22"/>
          <w:szCs w:val="22"/>
        </w:rPr>
        <w:t>ky bez DPH za každý den prodlení.</w:t>
      </w:r>
    </w:p>
    <w:p w:rsidR="0038123E" w:rsidRDefault="00D92FAC">
      <w:pPr>
        <w:pStyle w:val="Standard"/>
        <w:spacing w:line="288" w:lineRule="auto"/>
        <w:jc w:val="center"/>
        <w:rPr>
          <w:rFonts w:hint="eastAsia"/>
          <w:sz w:val="23"/>
          <w:szCs w:val="23"/>
        </w:rPr>
      </w:pPr>
      <w:r>
        <w:rPr>
          <w:b/>
          <w:sz w:val="23"/>
          <w:szCs w:val="23"/>
        </w:rPr>
        <w:t>V.</w:t>
      </w:r>
    </w:p>
    <w:p w:rsidR="0038123E" w:rsidRDefault="00D92FAC">
      <w:pPr>
        <w:pStyle w:val="Standard"/>
        <w:spacing w:line="288" w:lineRule="auto"/>
        <w:jc w:val="center"/>
        <w:rPr>
          <w:rFonts w:hint="eastAsia"/>
        </w:rPr>
      </w:pPr>
      <w:r>
        <w:rPr>
          <w:b/>
          <w:sz w:val="23"/>
          <w:szCs w:val="23"/>
        </w:rPr>
        <w:t>Další práva a povinnosti stran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i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5"/>
        </w:numPr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Vlastnické právo a okamžik nebezpečí škody na zboží a jeho náhodné zkázy přechází z prodávajícího na kupujícího okamžikem převzetí předmětu této kupní smlouvy.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Kupující je povinen zaplat</w:t>
      </w:r>
      <w:r>
        <w:rPr>
          <w:sz w:val="23"/>
          <w:szCs w:val="23"/>
        </w:rPr>
        <w:t>it za zboží dohodnutou kupní cenu a převzít dodané zboží v souladu s kupní smlouvou.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center"/>
        <w:rPr>
          <w:rFonts w:hint="eastAsia"/>
          <w:sz w:val="23"/>
          <w:szCs w:val="23"/>
        </w:rPr>
      </w:pPr>
      <w:r>
        <w:rPr>
          <w:b/>
          <w:sz w:val="23"/>
          <w:szCs w:val="23"/>
        </w:rPr>
        <w:t>VI.</w:t>
      </w:r>
    </w:p>
    <w:p w:rsidR="0038123E" w:rsidRDefault="00D92FAC">
      <w:pPr>
        <w:pStyle w:val="Nadpis2"/>
        <w:spacing w:line="288" w:lineRule="auto"/>
        <w:ind w:left="2880" w:firstLine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Odpovědnost za vadné plnění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6"/>
        </w:numPr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Kupující je povinen prohlédnout předmět koupě za účelem zjištění případných zjevných vad při splnění povinnosti </w:t>
      </w:r>
      <w:r>
        <w:rPr>
          <w:sz w:val="23"/>
          <w:szCs w:val="23"/>
        </w:rPr>
        <w:t>prodávajícího v místě plnění.</w:t>
      </w:r>
    </w:p>
    <w:p w:rsidR="0038123E" w:rsidRDefault="0038123E">
      <w:pPr>
        <w:pStyle w:val="Standard"/>
        <w:spacing w:line="288" w:lineRule="auto"/>
        <w:ind w:left="360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Vadami, za které prodávající odpovídá, jsou vady zejména v množství, jakosti a provedení.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Zjevnou vadu je kupující povinen písemně oznámit bez zbytečného odkladu poté, co ji mohl při včasné prohlídce a dostatečné péči zjisti</w:t>
      </w:r>
      <w:r>
        <w:rPr>
          <w:sz w:val="23"/>
          <w:szCs w:val="23"/>
        </w:rPr>
        <w:t>t, a to buď označením vady, nebo oznámením, jak se projevuje. Jedná-li se o skrytou vadu, je nutné vadu oznámit bez zbytečného odkladu poté, co kupující vadu při prohlídce výrobku mohl zjistit, nejpozději však do 12 měsíců po dodání zboží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  <w:lang w:val="de-DE"/>
        </w:rPr>
        <w:t>V </w:t>
      </w:r>
      <w:r>
        <w:rPr>
          <w:sz w:val="23"/>
          <w:szCs w:val="23"/>
        </w:rPr>
        <w:t>případě oprávn</w:t>
      </w:r>
      <w:r>
        <w:rPr>
          <w:sz w:val="23"/>
          <w:szCs w:val="23"/>
        </w:rPr>
        <w:t>ěné reklamace prodávající dle své volby buď odstraní vadu dodáním nové věci bez vady, dodáním chybějící věci či odstranění vady opravou věci, případně poskytne kupujícímu přiměřenou slevu z kupní ceny.</w:t>
      </w:r>
    </w:p>
    <w:p w:rsidR="0038123E" w:rsidRDefault="0038123E">
      <w:pPr>
        <w:pStyle w:val="Standard"/>
        <w:spacing w:line="288" w:lineRule="auto"/>
        <w:ind w:left="360"/>
        <w:jc w:val="both"/>
        <w:rPr>
          <w:rFonts w:hint="eastAsia"/>
          <w:sz w:val="23"/>
          <w:szCs w:val="23"/>
        </w:rPr>
      </w:pPr>
    </w:p>
    <w:p w:rsidR="0038123E" w:rsidRDefault="0038123E">
      <w:pPr>
        <w:pStyle w:val="Standard"/>
        <w:spacing w:line="288" w:lineRule="auto"/>
        <w:ind w:left="360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VII.</w:t>
      </w:r>
    </w:p>
    <w:p w:rsidR="0038123E" w:rsidRDefault="00D92FAC">
      <w:pPr>
        <w:pStyle w:val="Nadpis2"/>
        <w:spacing w:line="288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Záruka za jakost</w:t>
      </w:r>
    </w:p>
    <w:p w:rsidR="0038123E" w:rsidRDefault="0038123E">
      <w:pPr>
        <w:pStyle w:val="Standard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7"/>
        </w:numPr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Prodávající poskytuje kupujíc</w:t>
      </w:r>
      <w:r>
        <w:rPr>
          <w:sz w:val="23"/>
          <w:szCs w:val="23"/>
        </w:rPr>
        <w:t>ímu záruku za jakost po dobu 12 měsíců.</w:t>
      </w:r>
    </w:p>
    <w:p w:rsidR="0038123E" w:rsidRDefault="0038123E">
      <w:pPr>
        <w:pStyle w:val="Standard"/>
        <w:spacing w:line="288" w:lineRule="auto"/>
        <w:ind w:left="360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Záruční doba počíná běžet dnem dodání zboží kupujícímu.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 xml:space="preserve">Ze záruky jsou vyloučené všechny závady, které vzniknou neodborným zásahem do předmětu plnění (zboží), nedodržením návodu na obsluhu a údržbu zboží, použitím </w:t>
      </w:r>
      <w:r>
        <w:rPr>
          <w:sz w:val="23"/>
          <w:szCs w:val="23"/>
        </w:rPr>
        <w:t>nevhodných pracovních prostředků, nevhodným a neschváleným používáním, nedodržením podmínky použití originálních náhradních dílů atd. Kupující podpisem této smlouvy stvrzuje, že byl poučen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o způsobu užívání zboží v rozsahu stanoveném výrobcem zboží.</w:t>
      </w: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Vzniklé nedostatky oznámí kupující prodávajícímu bez zbytečného odkladu písemnou formou. Při reklamaci se postupuje stejně jako při uplatnění práv z odpovědnosti za vady.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lastRenderedPageBreak/>
        <w:t xml:space="preserve">Záruka se nevztahuje na spotřební a opotřebitelné díly, pneumatiky, skla atd., </w:t>
      </w:r>
      <w:r>
        <w:rPr>
          <w:sz w:val="23"/>
          <w:szCs w:val="23"/>
        </w:rPr>
        <w:t>které se vyměňují ve smyslu řádného návodu na obsluhu, údržbu a servis.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i/>
          <w:sz w:val="23"/>
          <w:szCs w:val="23"/>
        </w:rPr>
      </w:pPr>
    </w:p>
    <w:p w:rsidR="0038123E" w:rsidRDefault="0038123E">
      <w:pPr>
        <w:pStyle w:val="Standard"/>
        <w:spacing w:line="288" w:lineRule="auto"/>
        <w:jc w:val="both"/>
        <w:rPr>
          <w:rFonts w:hint="eastAsia"/>
          <w:i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VIII.</w:t>
      </w:r>
    </w:p>
    <w:p w:rsidR="0038123E" w:rsidRDefault="00D92FAC">
      <w:pPr>
        <w:pStyle w:val="Nadpis2"/>
        <w:spacing w:line="288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Závěrečná ustanovení</w:t>
      </w:r>
    </w:p>
    <w:p w:rsidR="0038123E" w:rsidRDefault="0038123E">
      <w:pPr>
        <w:pStyle w:val="Standard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numPr>
          <w:ilvl w:val="0"/>
          <w:numId w:val="8"/>
        </w:numPr>
        <w:spacing w:line="288" w:lineRule="auto"/>
        <w:jc w:val="both"/>
        <w:rPr>
          <w:rFonts w:hint="eastAsia"/>
        </w:rPr>
      </w:pPr>
      <w:r>
        <w:rPr>
          <w:sz w:val="23"/>
          <w:szCs w:val="23"/>
        </w:rPr>
        <w:t>Tato smlouva je vyhotovena ve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. originálech, přičemž prodávající obdrží …. vyhotovení smlouvy a kupující obdrží dvě vyhotovení smlouvy.</w:t>
      </w:r>
    </w:p>
    <w:p w:rsidR="0038123E" w:rsidRDefault="00D92FAC">
      <w:pPr>
        <w:pStyle w:val="Standard"/>
        <w:spacing w:line="288" w:lineRule="auto"/>
        <w:rPr>
          <w:rFonts w:hint="eastAsia"/>
        </w:rPr>
      </w:pPr>
      <w:r>
        <w:rPr>
          <w:sz w:val="23"/>
          <w:szCs w:val="23"/>
        </w:rPr>
        <w:t>Tuto smlouvu lze</w:t>
      </w:r>
      <w:r>
        <w:rPr>
          <w:sz w:val="23"/>
          <w:szCs w:val="23"/>
        </w:rPr>
        <w:t xml:space="preserve"> doplňovat a měnit pouze na základě písemných číslovaných dodatků.</w:t>
      </w:r>
    </w:p>
    <w:p w:rsidR="0038123E" w:rsidRDefault="00D92FAC">
      <w:pPr>
        <w:pStyle w:val="Standard"/>
        <w:spacing w:line="288" w:lineRule="auto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Kupní smlouva vstupuje v platnost dnem podpisu oběma stranami a účinnost kupní smlouvy nabývá platnost dnem převzetí Rozhodnutí o poskytnutí dotace z prostředků Programu rozvoje venkova obj</w:t>
      </w:r>
      <w:r>
        <w:rPr>
          <w:color w:val="000000"/>
          <w:sz w:val="22"/>
          <w:szCs w:val="22"/>
        </w:rPr>
        <w:t>ednatelem. O této skutečnosti bude objednatel dodavatele informovat nejpozději do 5 pracovních dní od převzetí rozhodnutí</w:t>
      </w:r>
    </w:p>
    <w:p w:rsidR="0038123E" w:rsidRDefault="0038123E">
      <w:pPr>
        <w:pStyle w:val="Odstavecseseznamem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Písemnosti se považují za doručené okamžikem jejich převzetí adresátem, nejpozději však třetím pracovním dnem po jejich odeslání pošt</w:t>
      </w:r>
      <w:r>
        <w:rPr>
          <w:sz w:val="23"/>
          <w:szCs w:val="23"/>
        </w:rPr>
        <w:t>ou formou doporučeného dopisu.</w:t>
      </w: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before="12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Smluvní strany výslovně prohlašují, že si tuto smlouvu před jejím podpisem řádně přečetly, že s jejím obsahem souhlasí a že byla uzavřena po vzájemném projednání, podle jejich svobodné a pravé vůle, vážně srozumitelně, nikol</w:t>
      </w:r>
      <w:r>
        <w:rPr>
          <w:sz w:val="23"/>
          <w:szCs w:val="23"/>
        </w:rPr>
        <w:t>iv v tísni a za nápadně nevýhodných podmínek pro jednu ze stran, na důkaz toho připojují své vlastnoruční podpisy. Tato smlouva nabývá platnosti a účinnosti okamžikem podpisu všemi jejími účastníky. Tímto dnem jsou její účastníci svými projevy vůle vázáni.</w:t>
      </w:r>
    </w:p>
    <w:p w:rsidR="0038123E" w:rsidRDefault="0038123E">
      <w:pPr>
        <w:pStyle w:val="Standard"/>
        <w:spacing w:line="288" w:lineRule="auto"/>
        <w:ind w:left="360"/>
        <w:rPr>
          <w:rFonts w:hint="eastAsia"/>
          <w:sz w:val="23"/>
          <w:szCs w:val="23"/>
        </w:rPr>
      </w:pPr>
    </w:p>
    <w:p w:rsidR="0038123E" w:rsidRDefault="0038123E">
      <w:pPr>
        <w:pStyle w:val="Standard"/>
        <w:spacing w:line="288" w:lineRule="auto"/>
        <w:jc w:val="both"/>
        <w:rPr>
          <w:rFonts w:hint="eastAsia"/>
          <w:sz w:val="23"/>
          <w:szCs w:val="23"/>
        </w:rPr>
      </w:pPr>
    </w:p>
    <w:p w:rsidR="0038123E" w:rsidRDefault="00D92FAC">
      <w:pPr>
        <w:pStyle w:val="Textbody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  ………………. dne 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V …………………. dne …………………</w:t>
      </w:r>
    </w:p>
    <w:p w:rsidR="0038123E" w:rsidRDefault="0038123E">
      <w:pPr>
        <w:pStyle w:val="Standard"/>
        <w:spacing w:line="288" w:lineRule="auto"/>
        <w:rPr>
          <w:rFonts w:hint="eastAsia"/>
          <w:sz w:val="23"/>
          <w:szCs w:val="23"/>
        </w:rPr>
      </w:pPr>
    </w:p>
    <w:p w:rsidR="0038123E" w:rsidRDefault="0038123E">
      <w:pPr>
        <w:pStyle w:val="Standard"/>
        <w:spacing w:line="288" w:lineRule="auto"/>
        <w:rPr>
          <w:rFonts w:hint="eastAsia"/>
          <w:sz w:val="23"/>
          <w:szCs w:val="23"/>
        </w:rPr>
      </w:pPr>
    </w:p>
    <w:p w:rsidR="0038123E" w:rsidRDefault="00D92FAC">
      <w:pPr>
        <w:pStyle w:val="Standard"/>
        <w:spacing w:line="288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..........................................................</w:t>
      </w:r>
    </w:p>
    <w:p w:rsidR="0038123E" w:rsidRDefault="00D92FAC">
      <w:pPr>
        <w:pStyle w:val="Standard"/>
        <w:spacing w:line="288" w:lineRule="auto"/>
        <w:ind w:firstLine="708"/>
        <w:rPr>
          <w:rFonts w:hint="eastAsia"/>
          <w:sz w:val="23"/>
          <w:szCs w:val="23"/>
        </w:rPr>
      </w:pPr>
      <w:r>
        <w:rPr>
          <w:sz w:val="23"/>
          <w:szCs w:val="23"/>
        </w:rPr>
        <w:t>Prodávající: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Kupující</w:t>
      </w:r>
    </w:p>
    <w:p w:rsidR="0038123E" w:rsidRDefault="00D92FAC">
      <w:pPr>
        <w:pStyle w:val="Standard"/>
        <w:spacing w:line="288" w:lineRule="auto"/>
        <w:ind w:firstLine="708"/>
        <w:jc w:val="both"/>
        <w:rPr>
          <w:rFonts w:hint="eastAsia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sectPr w:rsidR="0038123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662"/>
    <w:multiLevelType w:val="multilevel"/>
    <w:tmpl w:val="D372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8026E"/>
    <w:multiLevelType w:val="multilevel"/>
    <w:tmpl w:val="DCB24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7E4AA5"/>
    <w:multiLevelType w:val="multilevel"/>
    <w:tmpl w:val="B55C2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C81D4D"/>
    <w:multiLevelType w:val="multilevel"/>
    <w:tmpl w:val="9A10C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4C6F4A"/>
    <w:multiLevelType w:val="multilevel"/>
    <w:tmpl w:val="958ED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3B2963"/>
    <w:multiLevelType w:val="multilevel"/>
    <w:tmpl w:val="EDF462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8404DC0"/>
    <w:multiLevelType w:val="multilevel"/>
    <w:tmpl w:val="EDF8D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2C318E"/>
    <w:multiLevelType w:val="multilevel"/>
    <w:tmpl w:val="84D69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70B3655"/>
    <w:multiLevelType w:val="multilevel"/>
    <w:tmpl w:val="4DB21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3E"/>
    <w:rsid w:val="0038123E"/>
    <w:rsid w:val="00D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DD0"/>
  <w15:docId w15:val="{A0F8CF0F-B8A6-4A9E-B147-462C5EA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spacing w:before="42" w:after="0"/>
      <w:ind w:left="398"/>
      <w:outlineLvl w:val="0"/>
    </w:pPr>
    <w:rPr>
      <w:rFonts w:ascii="Verdana" w:eastAsia="Times New Roman" w:hAnsi="Verdana" w:cs="Verdana"/>
      <w:b/>
      <w:bCs/>
      <w:color w:val="00000A"/>
      <w:sz w:val="32"/>
      <w:szCs w:val="32"/>
    </w:rPr>
  </w:style>
  <w:style w:type="paragraph" w:styleId="Nadpis2">
    <w:name w:val="heading 2"/>
    <w:basedOn w:val="Nadpis"/>
    <w:uiPriority w:val="9"/>
    <w:unhideWhenUsed/>
    <w:qFormat/>
    <w:pPr>
      <w:spacing w:before="48" w:after="0"/>
      <w:ind w:left="8908"/>
      <w:outlineLvl w:val="1"/>
    </w:pPr>
    <w:rPr>
      <w:rFonts w:ascii="Verdana" w:eastAsia="Times New Roman" w:hAnsi="Verdana" w:cs="Verdana"/>
      <w:color w:val="00000A"/>
    </w:rPr>
  </w:style>
  <w:style w:type="paragraph" w:styleId="Nadpis3">
    <w:name w:val="heading 3"/>
    <w:basedOn w:val="Nadpis"/>
    <w:uiPriority w:val="9"/>
    <w:semiHidden/>
    <w:unhideWhenUsed/>
    <w:qFormat/>
    <w:pPr>
      <w:ind w:left="110"/>
      <w:outlineLvl w:val="2"/>
    </w:pPr>
    <w:rPr>
      <w:rFonts w:ascii="Verdana" w:eastAsia="Times New Roman" w:hAnsi="Verdana" w:cs="Verdana"/>
      <w:b/>
      <w:bCs/>
      <w:color w:val="00000A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3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3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3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i w:val="0"/>
      <w:sz w:val="23"/>
    </w:rPr>
  </w:style>
  <w:style w:type="character" w:customStyle="1" w:styleId="ListLabel29">
    <w:name w:val="ListLabel 29"/>
    <w:qFormat/>
    <w:rPr>
      <w:rFonts w:cs="Times New Roman"/>
      <w:sz w:val="23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3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i w:val="0"/>
      <w:sz w:val="23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/>
      <w:sz w:val="22"/>
    </w:rPr>
  </w:style>
  <w:style w:type="character" w:customStyle="1" w:styleId="ListLabel57">
    <w:name w:val="ListLabel 57"/>
    <w:qFormat/>
    <w:rPr>
      <w:rFonts w:cs="Times New Roman"/>
      <w:b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sz w:val="23"/>
    </w:rPr>
  </w:style>
  <w:style w:type="character" w:customStyle="1" w:styleId="Symbolyproslovn">
    <w:name w:val="Symboly pro číslování"/>
    <w:qFormat/>
  </w:style>
  <w:style w:type="character" w:customStyle="1" w:styleId="ListLabel66">
    <w:name w:val="ListLabel 66"/>
    <w:qFormat/>
    <w:rPr>
      <w:rFonts w:ascii="Times New Roman" w:hAnsi="Times New Roman" w:cs="Times New Roman"/>
      <w:sz w:val="23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3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3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i w:val="0"/>
      <w:sz w:val="23"/>
    </w:rPr>
  </w:style>
  <w:style w:type="character" w:customStyle="1" w:styleId="ListLabel94">
    <w:name w:val="ListLabel 94"/>
    <w:qFormat/>
    <w:rPr>
      <w:rFonts w:cs="Times New Roman"/>
      <w:sz w:val="23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  <w:sz w:val="23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i w:val="0"/>
      <w:sz w:val="23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2"/>
    </w:rPr>
  </w:style>
  <w:style w:type="character" w:customStyle="1" w:styleId="ListLabel122">
    <w:name w:val="ListLabel 122"/>
    <w:qFormat/>
    <w:rPr>
      <w:rFonts w:cs="Times New Roman"/>
      <w:b/>
      <w:sz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sz w:val="23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3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3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sz w:val="23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  <w:i w:val="0"/>
      <w:sz w:val="23"/>
    </w:rPr>
  </w:style>
  <w:style w:type="character" w:customStyle="1" w:styleId="ListLabel159">
    <w:name w:val="ListLabel 159"/>
    <w:qFormat/>
    <w:rPr>
      <w:rFonts w:cs="Times New Roman"/>
      <w:sz w:val="23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sz w:val="23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  <w:i w:val="0"/>
      <w:sz w:val="23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  <w:sz w:val="23"/>
    </w:rPr>
  </w:style>
  <w:style w:type="paragraph" w:customStyle="1" w:styleId="Nadpis">
    <w:name w:val="Nadpis"/>
    <w:next w:val="Tlotextu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pPr>
      <w:widowControl w:val="0"/>
    </w:pPr>
    <w:rPr>
      <w:sz w:val="24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dstavecseseznamem">
    <w:name w:val="List Paragraph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zmeskalova</dc:creator>
  <dc:description/>
  <cp:lastModifiedBy>michaela.zmeskalova@mas-mostenka.cz</cp:lastModifiedBy>
  <cp:revision>2</cp:revision>
  <cp:lastPrinted>2019-07-11T22:18:00Z</cp:lastPrinted>
  <dcterms:created xsi:type="dcterms:W3CDTF">2019-07-12T13:19:00Z</dcterms:created>
  <dcterms:modified xsi:type="dcterms:W3CDTF">2019-07-12T13:19:00Z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