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22900BCC" w:rsidR="00E01459" w:rsidRPr="008043DB" w:rsidRDefault="00E01459" w:rsidP="00B54AEE">
      <w:pPr>
        <w:jc w:val="both"/>
        <w:rPr>
          <w:rFonts w:asciiTheme="majorHAnsi" w:hAnsiTheme="majorHAnsi" w:cstheme="majorHAnsi"/>
        </w:rPr>
      </w:pPr>
      <w:r w:rsidRPr="008043DB">
        <w:rPr>
          <w:rFonts w:asciiTheme="majorHAnsi" w:hAnsiTheme="majorHAnsi" w:cstheme="majorHAnsi"/>
        </w:rPr>
        <w:t xml:space="preserve">Pro zakázku s názvem </w:t>
      </w:r>
      <w:bookmarkStart w:id="0" w:name="_Hlk16712367"/>
      <w:r w:rsidR="00B54AEE" w:rsidRPr="00B54AEE">
        <w:rPr>
          <w:rFonts w:asciiTheme="majorHAnsi" w:hAnsiTheme="majorHAnsi" w:cstheme="majorHAnsi"/>
          <w:b/>
        </w:rPr>
        <w:t>Svařovací zdroj pulsní určený pro svařování metodou MIG/MAG</w:t>
      </w:r>
      <w:bookmarkEnd w:id="0"/>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zapsaná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p w14:paraId="4778E78A" w14:textId="77777777" w:rsidR="00E01459" w:rsidRPr="008043DB" w:rsidRDefault="00E01459" w:rsidP="00E01459">
      <w:pPr>
        <w:jc w:val="center"/>
        <w:rPr>
          <w:rFonts w:asciiTheme="majorHAnsi" w:hAnsiTheme="majorHAnsi" w:cstheme="majorHAnsi"/>
          <w:b/>
        </w:rPr>
      </w:pPr>
    </w:p>
    <w:p w14:paraId="04576890" w14:textId="3F1D9DA0" w:rsidR="00E01459" w:rsidRPr="008043DB" w:rsidRDefault="00E01459" w:rsidP="00E01459">
      <w:pPr>
        <w:spacing w:after="0"/>
        <w:rPr>
          <w:rFonts w:asciiTheme="majorHAnsi" w:hAnsiTheme="majorHAnsi" w:cstheme="majorHAnsi"/>
          <w:b/>
        </w:rPr>
      </w:pPr>
      <w:r w:rsidRPr="008043DB">
        <w:rPr>
          <w:rFonts w:asciiTheme="majorHAnsi" w:hAnsiTheme="majorHAnsi" w:cstheme="majorHAnsi"/>
          <w:b/>
        </w:rPr>
        <w:t>Kupující</w:t>
      </w:r>
      <w:r w:rsidRPr="008043DB">
        <w:rPr>
          <w:rFonts w:asciiTheme="majorHAnsi" w:hAnsiTheme="majorHAnsi" w:cstheme="majorHAnsi"/>
          <w:b/>
        </w:rPr>
        <w:tab/>
      </w:r>
      <w:r w:rsidRPr="008043DB">
        <w:rPr>
          <w:rFonts w:asciiTheme="majorHAnsi" w:hAnsiTheme="majorHAnsi" w:cstheme="majorHAnsi"/>
          <w:b/>
        </w:rPr>
        <w:tab/>
      </w:r>
      <w:r w:rsidR="00B54AEE" w:rsidRPr="00B54AEE">
        <w:rPr>
          <w:rFonts w:asciiTheme="majorHAnsi" w:hAnsiTheme="majorHAnsi" w:cstheme="majorHAnsi"/>
          <w:b/>
        </w:rPr>
        <w:t>COMAC CAL s.r.o.</w:t>
      </w:r>
    </w:p>
    <w:p w14:paraId="2852FE1B" w14:textId="389B8BC1"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B54AEE" w:rsidRPr="00B54AEE">
        <w:rPr>
          <w:rFonts w:asciiTheme="majorHAnsi" w:hAnsiTheme="majorHAnsi" w:cstheme="majorHAnsi"/>
        </w:rPr>
        <w:t>č.p. 239, 739 53 Třanovice</w:t>
      </w:r>
    </w:p>
    <w:p w14:paraId="12EB2894" w14:textId="72785E8B"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B54AEE" w:rsidRPr="00B54AEE">
        <w:rPr>
          <w:rFonts w:asciiTheme="majorHAnsi" w:hAnsiTheme="majorHAnsi" w:cstheme="majorHAnsi"/>
        </w:rPr>
        <w:t>61974170</w:t>
      </w:r>
    </w:p>
    <w:p w14:paraId="62807647" w14:textId="40ED5741" w:rsidR="00E01459" w:rsidRPr="00317323"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00B54AEE" w:rsidRPr="00B54AEE">
        <w:rPr>
          <w:rFonts w:asciiTheme="majorHAnsi" w:hAnsiTheme="majorHAnsi" w:cstheme="majorHAnsi"/>
        </w:rPr>
        <w:t>CZ61974170</w:t>
      </w:r>
    </w:p>
    <w:p w14:paraId="6E3130BF" w14:textId="4674944D" w:rsidR="00D9320D" w:rsidRPr="008043DB" w:rsidRDefault="00E01459" w:rsidP="00E01459">
      <w:pPr>
        <w:spacing w:after="0"/>
        <w:rPr>
          <w:rFonts w:asciiTheme="majorHAnsi" w:hAnsiTheme="majorHAnsi" w:cstheme="majorHAnsi"/>
        </w:rPr>
      </w:pPr>
      <w:r w:rsidRPr="00317323">
        <w:rPr>
          <w:rFonts w:asciiTheme="majorHAnsi" w:hAnsiTheme="majorHAnsi" w:cstheme="majorHAnsi"/>
        </w:rPr>
        <w:t>Zastoupen</w:t>
      </w:r>
      <w:r w:rsidR="00D9320D">
        <w:rPr>
          <w:rFonts w:asciiTheme="majorHAnsi" w:hAnsiTheme="majorHAnsi" w:cstheme="majorHAnsi"/>
        </w:rPr>
        <w:t>a</w:t>
      </w:r>
      <w:r w:rsidRPr="00317323">
        <w:rPr>
          <w:rFonts w:asciiTheme="majorHAnsi" w:hAnsiTheme="majorHAnsi" w:cstheme="majorHAnsi"/>
        </w:rPr>
        <w:t>:</w:t>
      </w:r>
      <w:r w:rsidRPr="00317323">
        <w:rPr>
          <w:rFonts w:asciiTheme="majorHAnsi" w:hAnsiTheme="majorHAnsi" w:cstheme="majorHAnsi"/>
        </w:rPr>
        <w:tab/>
      </w:r>
      <w:r w:rsidRPr="00317323">
        <w:rPr>
          <w:rFonts w:asciiTheme="majorHAnsi" w:hAnsiTheme="majorHAnsi" w:cstheme="majorHAnsi"/>
        </w:rPr>
        <w:tab/>
      </w:r>
      <w:r w:rsidR="00B54AEE" w:rsidRPr="00B54AEE">
        <w:rPr>
          <w:rFonts w:ascii="Times New Roman" w:hAnsi="Times New Roman" w:cs="Times New Roman"/>
        </w:rPr>
        <w:t>Ing. MARCEL MACEČEK, jednatel</w:t>
      </w:r>
      <w:r w:rsidR="00D9320D">
        <w:rPr>
          <w:rFonts w:asciiTheme="majorHAnsi" w:hAnsiTheme="majorHAnsi" w:cstheme="majorHAnsi"/>
        </w:rPr>
        <w:tab/>
      </w:r>
      <w:r w:rsidR="00D9320D">
        <w:rPr>
          <w:rFonts w:asciiTheme="majorHAnsi" w:hAnsiTheme="majorHAnsi" w:cstheme="majorHAnsi"/>
        </w:rPr>
        <w:tab/>
      </w:r>
      <w:r w:rsidR="00D9320D">
        <w:rPr>
          <w:rFonts w:asciiTheme="majorHAnsi" w:hAnsiTheme="majorHAnsi" w:cstheme="majorHAnsi"/>
        </w:rPr>
        <w:tab/>
      </w: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78E03D2A" w14:textId="3F5E26EE"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 xml:space="preserve">zapsaná v obchodním rejstříku vedeném u Krajského soudu v Ostravě, oddíl </w:t>
      </w:r>
      <w:r w:rsidRPr="008043DB">
        <w:rPr>
          <w:rStyle w:val="spiszn"/>
          <w:rFonts w:asciiTheme="majorHAnsi" w:hAnsiTheme="majorHAnsi" w:cstheme="majorHAnsi"/>
        </w:rPr>
        <w:t xml:space="preserve">C, vložka </w:t>
      </w:r>
      <w:r w:rsidR="00B54AEE" w:rsidRPr="00B54AEE">
        <w:rPr>
          <w:rFonts w:asciiTheme="majorHAnsi" w:hAnsiTheme="majorHAnsi" w:cstheme="majorHAnsi"/>
        </w:rPr>
        <w:t>7229</w:t>
      </w:r>
    </w:p>
    <w:p w14:paraId="4D976E64" w14:textId="77777777" w:rsidR="00E01459" w:rsidRPr="008043DB" w:rsidRDefault="00E01459" w:rsidP="00E01459">
      <w:pPr>
        <w:rPr>
          <w:rFonts w:asciiTheme="majorHAnsi" w:hAnsiTheme="majorHAnsi" w:cstheme="majorHAnsi"/>
          <w:sz w:val="20"/>
          <w:szCs w:val="20"/>
        </w:rPr>
      </w:pPr>
    </w:p>
    <w:p w14:paraId="4572CF2A" w14:textId="77777777" w:rsidR="00E01459" w:rsidRPr="008043DB" w:rsidRDefault="00E01459" w:rsidP="00E01459">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1" w:name="bookmark-name-1"/>
      <w:bookmarkEnd w:id="1"/>
      <w:r w:rsidRPr="00DD6621">
        <w:rPr>
          <w:rFonts w:asciiTheme="majorHAnsi" w:hAnsiTheme="majorHAnsi" w:cstheme="majorHAnsi"/>
          <w:bCs/>
          <w:sz w:val="22"/>
        </w:rPr>
        <w:lastRenderedPageBreak/>
        <w:t>Základní ustanovení</w:t>
      </w:r>
    </w:p>
    <w:p w14:paraId="75FB3B40" w14:textId="246269B1"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B54AEE" w:rsidRPr="00E6582F">
        <w:rPr>
          <w:rFonts w:ascii="Times New Roman" w:hAnsi="Times New Roman" w:cs="Times New Roman"/>
          <w:b/>
        </w:rPr>
        <w:t>Svařovací zdroj pulsní určený pro svařování metodou MIG/MAG</w:t>
      </w:r>
      <w:r w:rsidR="00B54AEE">
        <w:rPr>
          <w:rFonts w:asciiTheme="majorHAnsi" w:hAnsiTheme="majorHAnsi" w:cstheme="majorHAnsi"/>
        </w:rPr>
        <w:t xml:space="preserve"> </w:t>
      </w:r>
      <w:r w:rsidR="00D9320D" w:rsidRPr="00DD6621">
        <w:rPr>
          <w:rFonts w:asciiTheme="majorHAnsi" w:hAnsiTheme="majorHAnsi" w:cstheme="majorHAnsi"/>
        </w:rPr>
        <w:t>specifikovan</w:t>
      </w:r>
      <w:r w:rsidR="00B54AEE">
        <w:rPr>
          <w:rFonts w:asciiTheme="majorHAnsi" w:hAnsiTheme="majorHAnsi" w:cstheme="majorHAnsi"/>
        </w:rPr>
        <w:t>ý</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w:t>
      </w:r>
      <w:r w:rsidR="00614A3E">
        <w:rPr>
          <w:rFonts w:asciiTheme="majorHAnsi" w:hAnsiTheme="majorHAnsi" w:cstheme="majorHAnsi"/>
        </w:rPr>
        <w:t>K</w:t>
      </w:r>
      <w:r w:rsidRPr="00DD6621">
        <w:rPr>
          <w:rFonts w:asciiTheme="majorHAnsi" w:hAnsiTheme="majorHAnsi" w:cstheme="majorHAnsi"/>
        </w:rPr>
        <w:t xml:space="preserve">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upující tento stroj</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2" w:name="bookmark-name-2"/>
      <w:bookmarkEnd w:id="2"/>
      <w:r w:rsidRPr="00DD6621">
        <w:rPr>
          <w:rFonts w:asciiTheme="majorHAnsi" w:hAnsiTheme="majorHAnsi" w:cstheme="majorHAnsi"/>
          <w:bCs/>
          <w:sz w:val="22"/>
        </w:rPr>
        <w:t>Předmět Smlouvy</w:t>
      </w:r>
    </w:p>
    <w:p w14:paraId="6A6011FF" w14:textId="75CF5B4C"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plnění závazku prodávajícího je dodávka</w:t>
      </w:r>
      <w:r w:rsidR="00D9320D">
        <w:rPr>
          <w:rFonts w:asciiTheme="majorHAnsi" w:hAnsiTheme="majorHAnsi" w:cstheme="majorHAnsi"/>
          <w:b w:val="0"/>
          <w:sz w:val="22"/>
        </w:rPr>
        <w:t xml:space="preserve"> ………,</w:t>
      </w:r>
      <w:r w:rsidR="0071219C">
        <w:rPr>
          <w:rFonts w:asciiTheme="majorHAnsi" w:hAnsiTheme="majorHAnsi" w:cstheme="majorHAnsi"/>
          <w:b w:val="0"/>
          <w:sz w:val="22"/>
        </w:rPr>
        <w:t xml:space="preserve"> typ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595D7E1E"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A75744">
        <w:rPr>
          <w:rFonts w:asciiTheme="majorHAnsi" w:hAnsiTheme="majorHAnsi" w:cstheme="majorHAnsi"/>
          <w:b w:val="0"/>
          <w:sz w:val="22"/>
        </w:rPr>
        <w:t> </w:t>
      </w:r>
      <w:r w:rsidR="00D9320D">
        <w:rPr>
          <w:rFonts w:asciiTheme="majorHAnsi" w:hAnsiTheme="majorHAnsi" w:cstheme="majorHAnsi"/>
          <w:b w:val="0"/>
          <w:sz w:val="22"/>
        </w:rPr>
        <w:t xml:space="preserve">……… </w:t>
      </w:r>
      <w:r w:rsidR="00D9320D" w:rsidRPr="005B51DD">
        <w:rPr>
          <w:rFonts w:asciiTheme="majorHAnsi" w:hAnsiTheme="majorHAnsi" w:cstheme="majorHAnsi"/>
          <w:b w:val="0"/>
          <w:sz w:val="22"/>
          <w:highlight w:val="green"/>
        </w:rPr>
        <w:t>(doplní uchazeč)</w:t>
      </w:r>
      <w:r w:rsidR="00D9320D">
        <w:rPr>
          <w:rFonts w:asciiTheme="majorHAnsi" w:hAnsiTheme="majorHAnsi" w:cstheme="majorHAnsi"/>
          <w:b w:val="0"/>
          <w:sz w:val="22"/>
        </w:rPr>
        <w:t xml:space="preserve"> </w:t>
      </w:r>
      <w:r w:rsidRPr="00DD6621">
        <w:rPr>
          <w:rFonts w:asciiTheme="majorHAnsi" w:hAnsiTheme="majorHAnsi" w:cstheme="majorHAnsi"/>
          <w:b w:val="0"/>
          <w:sz w:val="22"/>
        </w:rPr>
        <w:t>dle nabídky do výběrového řízení s</w:t>
      </w:r>
      <w:r w:rsidR="008043DB" w:rsidRPr="00DD6621">
        <w:rPr>
          <w:rFonts w:asciiTheme="majorHAnsi" w:hAnsiTheme="majorHAnsi" w:cstheme="majorHAnsi"/>
          <w:b w:val="0"/>
          <w:sz w:val="22"/>
        </w:rPr>
        <w:t> </w:t>
      </w:r>
      <w:r w:rsidRPr="00DD6621">
        <w:rPr>
          <w:rFonts w:asciiTheme="majorHAnsi" w:hAnsiTheme="majorHAnsi" w:cstheme="majorHAnsi"/>
          <w:b w:val="0"/>
          <w:sz w:val="22"/>
        </w:rPr>
        <w:t xml:space="preserve">názvem </w:t>
      </w:r>
      <w:r w:rsidR="00D9320D" w:rsidRPr="00D9320D">
        <w:rPr>
          <w:rFonts w:asciiTheme="majorHAnsi" w:hAnsiTheme="majorHAnsi" w:cstheme="majorHAnsi"/>
          <w:b w:val="0"/>
          <w:sz w:val="22"/>
        </w:rPr>
        <w:t xml:space="preserve">Navíjecí a splétací stroje pro společnost </w:t>
      </w:r>
      <w:r w:rsidR="00B54AEE" w:rsidRPr="00B54AEE">
        <w:rPr>
          <w:rFonts w:asciiTheme="majorHAnsi" w:hAnsiTheme="majorHAnsi" w:cstheme="majorHAnsi"/>
          <w:bCs/>
          <w:i/>
          <w:iCs/>
          <w:sz w:val="22"/>
        </w:rPr>
        <w:t xml:space="preserve">Svařovací zdroj pulsní určený pro svařování metodou MIG/MAG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32C6DA54" w14:textId="77777777"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 jež je nedílnou součástí této Smlouvy.</w:t>
      </w:r>
    </w:p>
    <w:p w14:paraId="30558980" w14:textId="77777777" w:rsidR="00D62E4B" w:rsidRDefault="00B30F23" w:rsidP="00D62E4B">
      <w:pPr>
        <w:pStyle w:val="Level1"/>
        <w:numPr>
          <w:ilvl w:val="0"/>
          <w:numId w:val="10"/>
        </w:numPr>
        <w:spacing w:before="400" w:line="240" w:lineRule="auto"/>
        <w:outlineLvl w:val="1"/>
        <w:rPr>
          <w:rFonts w:asciiTheme="majorHAnsi" w:hAnsiTheme="majorHAnsi" w:cstheme="majorHAnsi"/>
          <w:bCs/>
          <w:sz w:val="22"/>
        </w:rPr>
      </w:pPr>
      <w:bookmarkStart w:id="3" w:name="bookmark-name-3"/>
      <w:bookmarkEnd w:id="3"/>
      <w:r w:rsidRPr="00D62E4B">
        <w:rPr>
          <w:rFonts w:asciiTheme="majorHAnsi" w:hAnsiTheme="majorHAnsi" w:cstheme="majorHAnsi"/>
          <w:bCs/>
          <w:sz w:val="22"/>
        </w:rPr>
        <w:t>Doba a místo plnění</w:t>
      </w:r>
      <w:bookmarkStart w:id="4" w:name="_Hlk531726557"/>
    </w:p>
    <w:p w14:paraId="0C98C3CA" w14:textId="04E06A2A" w:rsidR="00F20A00" w:rsidRPr="00D62E4B" w:rsidRDefault="00121340" w:rsidP="00D62E4B">
      <w:pPr>
        <w:pStyle w:val="Level1"/>
        <w:numPr>
          <w:ilvl w:val="1"/>
          <w:numId w:val="10"/>
        </w:numPr>
        <w:spacing w:before="120" w:after="120" w:line="240" w:lineRule="auto"/>
        <w:outlineLvl w:val="1"/>
        <w:rPr>
          <w:rFonts w:asciiTheme="majorHAnsi" w:hAnsiTheme="majorHAnsi" w:cstheme="majorHAnsi"/>
          <w:bCs/>
          <w:sz w:val="22"/>
        </w:rPr>
      </w:pPr>
      <w:r w:rsidRPr="00D62E4B">
        <w:rPr>
          <w:rFonts w:asciiTheme="majorHAnsi" w:hAnsiTheme="majorHAnsi" w:cstheme="majorHAnsi"/>
          <w:b w:val="0"/>
          <w:sz w:val="22"/>
        </w:rPr>
        <w:t xml:space="preserve">Mezi Smluvními stranami bude na základě písemné dohody vystavena objednávka na dodávku předmětu této Smlouvy. </w:t>
      </w:r>
      <w:r w:rsidR="00B30F23" w:rsidRPr="00D62E4B">
        <w:rPr>
          <w:rFonts w:asciiTheme="majorHAnsi" w:hAnsiTheme="majorHAnsi" w:cstheme="majorHAnsi"/>
          <w:b w:val="0"/>
          <w:sz w:val="22"/>
        </w:rPr>
        <w:t>Prodávající se zavazuje předat předmět Smlouvy Kupujícímu</w:t>
      </w:r>
      <w:r w:rsidR="00F20A00" w:rsidRPr="00D62E4B">
        <w:rPr>
          <w:rFonts w:asciiTheme="majorHAnsi" w:hAnsiTheme="majorHAnsi" w:cstheme="majorHAnsi"/>
          <w:b w:val="0"/>
          <w:sz w:val="22"/>
        </w:rPr>
        <w:t xml:space="preserve"> </w:t>
      </w:r>
      <w:r w:rsidRPr="00D62E4B">
        <w:rPr>
          <w:rFonts w:asciiTheme="majorHAnsi" w:hAnsiTheme="majorHAnsi" w:cstheme="majorHAnsi"/>
          <w:bCs/>
          <w:sz w:val="22"/>
        </w:rPr>
        <w:t xml:space="preserve">nejpozději </w:t>
      </w:r>
      <w:r w:rsidR="00F20A00" w:rsidRPr="00D62E4B">
        <w:rPr>
          <w:rFonts w:asciiTheme="majorHAnsi" w:hAnsiTheme="majorHAnsi" w:cstheme="majorHAnsi"/>
          <w:bCs/>
          <w:sz w:val="22"/>
        </w:rPr>
        <w:t xml:space="preserve">do </w:t>
      </w:r>
      <w:r w:rsidRPr="00D62E4B">
        <w:rPr>
          <w:rFonts w:asciiTheme="majorHAnsi" w:hAnsiTheme="majorHAnsi" w:cstheme="majorHAnsi"/>
          <w:bCs/>
          <w:sz w:val="22"/>
        </w:rPr>
        <w:t>15. 11. 2020</w:t>
      </w:r>
      <w:bookmarkEnd w:id="4"/>
      <w:r w:rsidRPr="00D62E4B">
        <w:rPr>
          <w:rFonts w:asciiTheme="majorHAnsi" w:hAnsiTheme="majorHAnsi" w:cstheme="majorHAnsi"/>
          <w:bCs/>
          <w:sz w:val="22"/>
        </w:rPr>
        <w:t>.</w:t>
      </w:r>
    </w:p>
    <w:p w14:paraId="0BD7D393" w14:textId="48722A0D" w:rsidR="00B30F23" w:rsidRPr="00DD6621" w:rsidRDefault="00B30F23" w:rsidP="00121340">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O předání a převzetí předmětu Smlouvy bude mezi smluvními stranami sepsán předávací protokol</w:t>
      </w:r>
      <w:r w:rsidR="008A222D">
        <w:rPr>
          <w:rFonts w:asciiTheme="majorHAnsi" w:hAnsiTheme="majorHAnsi" w:cstheme="majorHAnsi"/>
          <w:b w:val="0"/>
          <w:sz w:val="22"/>
        </w:rPr>
        <w:t xml:space="preserve">, který bude </w:t>
      </w:r>
      <w:r w:rsidR="002F3D7F">
        <w:rPr>
          <w:rFonts w:asciiTheme="majorHAnsi" w:hAnsiTheme="majorHAnsi" w:cstheme="majorHAnsi"/>
          <w:b w:val="0"/>
          <w:sz w:val="22"/>
        </w:rPr>
        <w:t>předán s prohlášením o shodě k dodaným zařízením</w:t>
      </w:r>
      <w:r w:rsidRPr="00DD6621">
        <w:rPr>
          <w:rFonts w:asciiTheme="majorHAnsi" w:hAnsiTheme="majorHAnsi" w:cstheme="majorHAnsi"/>
          <w:b w:val="0"/>
          <w:sz w:val="22"/>
        </w:rPr>
        <w:t>.</w:t>
      </w:r>
    </w:p>
    <w:p w14:paraId="16EC601E" w14:textId="05300EC8" w:rsidR="00B54AEE" w:rsidRPr="00B54AEE" w:rsidRDefault="00B30F23" w:rsidP="00E23E75">
      <w:pPr>
        <w:pStyle w:val="Level1"/>
        <w:numPr>
          <w:ilvl w:val="1"/>
          <w:numId w:val="10"/>
        </w:numPr>
        <w:spacing w:before="120" w:after="120" w:line="276" w:lineRule="auto"/>
        <w:outlineLvl w:val="1"/>
        <w:rPr>
          <w:rFonts w:asciiTheme="majorHAnsi" w:hAnsiTheme="majorHAnsi" w:cstheme="majorHAnsi"/>
          <w:b w:val="0"/>
          <w:sz w:val="22"/>
        </w:rPr>
      </w:pPr>
      <w:r w:rsidRPr="00B54AEE">
        <w:rPr>
          <w:rFonts w:asciiTheme="majorHAnsi" w:hAnsiTheme="majorHAnsi" w:cstheme="majorHAnsi"/>
          <w:b w:val="0"/>
          <w:sz w:val="22"/>
        </w:rPr>
        <w:t xml:space="preserve">Místem plnění předmětu Smlouvy je </w:t>
      </w:r>
      <w:r w:rsidR="00B54AEE" w:rsidRPr="00B54AEE">
        <w:rPr>
          <w:rFonts w:asciiTheme="majorHAnsi" w:hAnsiTheme="majorHAnsi" w:cstheme="majorHAnsi"/>
          <w:b w:val="0"/>
          <w:sz w:val="22"/>
        </w:rPr>
        <w:t>provozovna</w:t>
      </w:r>
      <w:r w:rsidRPr="00B54AEE">
        <w:rPr>
          <w:rFonts w:asciiTheme="majorHAnsi" w:hAnsiTheme="majorHAnsi" w:cstheme="majorHAnsi"/>
          <w:b w:val="0"/>
          <w:sz w:val="22"/>
        </w:rPr>
        <w:t xml:space="preserve"> Kupujícího na adrese: </w:t>
      </w:r>
      <w:r w:rsidR="00B54AEE" w:rsidRPr="00B54AEE">
        <w:rPr>
          <w:rFonts w:asciiTheme="majorHAnsi" w:hAnsiTheme="majorHAnsi" w:cstheme="majorHAnsi"/>
          <w:sz w:val="22"/>
        </w:rPr>
        <w:t>Těšínská 737/30, 735 42, Těrlicko – Horní Těrlicko</w:t>
      </w:r>
      <w:r w:rsidR="00B54AEE">
        <w:rPr>
          <w:rFonts w:asciiTheme="majorHAnsi" w:hAnsiTheme="majorHAnsi" w:cstheme="majorHAnsi"/>
          <w:sz w:val="22"/>
        </w:rPr>
        <w:t>.</w:t>
      </w:r>
    </w:p>
    <w:p w14:paraId="300DF61E" w14:textId="77306700" w:rsidR="00B30F23" w:rsidRPr="00B54AEE" w:rsidRDefault="00B30F23" w:rsidP="00E23E75">
      <w:pPr>
        <w:pStyle w:val="Level1"/>
        <w:numPr>
          <w:ilvl w:val="1"/>
          <w:numId w:val="10"/>
        </w:numPr>
        <w:spacing w:before="120" w:after="120" w:line="276" w:lineRule="auto"/>
        <w:outlineLvl w:val="1"/>
        <w:rPr>
          <w:rFonts w:asciiTheme="majorHAnsi" w:hAnsiTheme="majorHAnsi" w:cstheme="majorHAnsi"/>
          <w:b w:val="0"/>
          <w:sz w:val="22"/>
        </w:rPr>
      </w:pPr>
      <w:r w:rsidRPr="00B54AEE">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5" w:name="_Ref332098318"/>
      <w:bookmarkStart w:id="6"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w:t>
      </w:r>
      <w:r w:rsidRPr="00B30F23">
        <w:rPr>
          <w:rFonts w:asciiTheme="majorHAnsi" w:hAnsiTheme="majorHAnsi" w:cstheme="majorHAnsi"/>
          <w:b w:val="0"/>
          <w:sz w:val="22"/>
        </w:rPr>
        <w:t>DPH 21 %</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5"/>
    <w:bookmarkEnd w:id="6"/>
    <w:p w14:paraId="1E6FC02D" w14:textId="551E1A6A"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 xml:space="preserve">1 této Smlouvy je cenou nejvýše přípustnou. Kupní cena obsahuje i náklady na dopravu do místa </w:t>
      </w:r>
      <w:r w:rsidRPr="00DD6621">
        <w:rPr>
          <w:rFonts w:asciiTheme="majorHAnsi" w:hAnsiTheme="majorHAnsi" w:cstheme="majorHAnsi"/>
          <w:b w:val="0"/>
          <w:sz w:val="22"/>
        </w:rPr>
        <w:t>plnění</w:t>
      </w:r>
      <w:r w:rsidRPr="00B30F23">
        <w:rPr>
          <w:rFonts w:asciiTheme="majorHAnsi" w:hAnsiTheme="majorHAnsi" w:cstheme="majorHAnsi"/>
          <w:b w:val="0"/>
          <w:sz w:val="22"/>
        </w:rPr>
        <w:t xml:space="preserve"> předmětu Smlouvy </w:t>
      </w:r>
      <w:r w:rsidRPr="00B30F23">
        <w:rPr>
          <w:rFonts w:asciiTheme="majorHAnsi" w:hAnsiTheme="majorHAnsi" w:cstheme="majorHAnsi"/>
          <w:b w:val="0"/>
          <w:sz w:val="22"/>
        </w:rPr>
        <w:lastRenderedPageBreak/>
        <w:t>dle čl</w:t>
      </w:r>
      <w:r w:rsidR="004B7DA1" w:rsidRPr="00DD6621">
        <w:rPr>
          <w:rFonts w:asciiTheme="majorHAnsi" w:hAnsiTheme="majorHAnsi" w:cstheme="majorHAnsi"/>
          <w:b w:val="0"/>
          <w:sz w:val="22"/>
        </w:rPr>
        <w:t>. 4</w:t>
      </w:r>
      <w:r w:rsidRPr="00B30F23">
        <w:rPr>
          <w:rFonts w:asciiTheme="majorHAnsi" w:hAnsiTheme="majorHAnsi" w:cstheme="majorHAnsi"/>
          <w:b w:val="0"/>
          <w:sz w:val="22"/>
        </w:rPr>
        <w:t xml:space="preserve">. bodu </w:t>
      </w:r>
      <w:r w:rsidR="004B7DA1" w:rsidRPr="00DD6621">
        <w:rPr>
          <w:rFonts w:asciiTheme="majorHAnsi" w:hAnsiTheme="majorHAnsi" w:cstheme="majorHAnsi"/>
          <w:b w:val="0"/>
          <w:sz w:val="22"/>
        </w:rPr>
        <w:t>4.</w:t>
      </w:r>
      <w:r w:rsidRPr="00B30F23">
        <w:rPr>
          <w:rFonts w:asciiTheme="majorHAnsi" w:hAnsiTheme="majorHAnsi" w:cstheme="majorHAnsi"/>
          <w:b w:val="0"/>
          <w:sz w:val="22"/>
        </w:rPr>
        <w:t>2 této Smlouvy,</w:t>
      </w:r>
      <w:r w:rsidR="00B54AEE">
        <w:rPr>
          <w:rFonts w:asciiTheme="majorHAnsi" w:hAnsiTheme="majorHAnsi" w:cstheme="majorHAnsi"/>
          <w:b w:val="0"/>
          <w:sz w:val="22"/>
        </w:rPr>
        <w:t xml:space="preserve"> komplementaci pracoviště,</w:t>
      </w:r>
      <w:r w:rsidRPr="00B30F23">
        <w:rPr>
          <w:rFonts w:asciiTheme="majorHAnsi" w:hAnsiTheme="majorHAnsi" w:cstheme="majorHAnsi"/>
          <w:b w:val="0"/>
          <w:sz w:val="22"/>
        </w:rPr>
        <w:t xml:space="preserve"> náklady na</w:t>
      </w:r>
      <w:r w:rsidR="00B54AEE">
        <w:rPr>
          <w:rFonts w:asciiTheme="majorHAnsi" w:hAnsiTheme="majorHAnsi" w:cstheme="majorHAnsi"/>
          <w:b w:val="0"/>
          <w:sz w:val="22"/>
        </w:rPr>
        <w:t xml:space="preserve"> instalaci a</w:t>
      </w:r>
      <w:r w:rsidRPr="00B30F23">
        <w:rPr>
          <w:rFonts w:asciiTheme="majorHAnsi" w:hAnsiTheme="majorHAnsi" w:cstheme="majorHAnsi"/>
          <w:b w:val="0"/>
          <w:sz w:val="22"/>
        </w:rPr>
        <w:t xml:space="preserve"> uvedení do provozu s předvedením funkčnosti</w:t>
      </w:r>
      <w:r w:rsidR="00DD6621" w:rsidRPr="00DD6621">
        <w:rPr>
          <w:rFonts w:asciiTheme="majorHAnsi" w:hAnsiTheme="majorHAnsi" w:cstheme="majorHAnsi"/>
          <w:b w:val="0"/>
          <w:sz w:val="22"/>
        </w:rPr>
        <w:t xml:space="preserve"> (montáž, seřízení, ustavení)</w:t>
      </w:r>
      <w:r w:rsidRPr="00B30F23">
        <w:rPr>
          <w:rFonts w:asciiTheme="majorHAnsi" w:hAnsiTheme="majorHAnsi" w:cstheme="majorHAnsi"/>
          <w:b w:val="0"/>
          <w:sz w:val="22"/>
        </w:rPr>
        <w:t>, zaškolení pracovníků Kupujícího</w:t>
      </w:r>
      <w:r w:rsidR="002F3D7F">
        <w:rPr>
          <w:rFonts w:asciiTheme="majorHAnsi" w:hAnsiTheme="majorHAnsi" w:cstheme="majorHAnsi"/>
          <w:b w:val="0"/>
          <w:sz w:val="22"/>
        </w:rPr>
        <w:t xml:space="preserve">, </w:t>
      </w:r>
      <w:r w:rsidRPr="00B30F23">
        <w:rPr>
          <w:rFonts w:asciiTheme="majorHAnsi" w:hAnsiTheme="majorHAnsi" w:cstheme="majorHAnsi"/>
          <w:b w:val="0"/>
          <w:sz w:val="22"/>
        </w:rPr>
        <w:t>náklady odpadového hospodářství, provedení všech technických revizí apod.</w:t>
      </w:r>
      <w:r w:rsidR="004E230A">
        <w:rPr>
          <w:rFonts w:asciiTheme="majorHAnsi" w:hAnsiTheme="majorHAnsi" w:cstheme="majorHAnsi"/>
          <w:b w:val="0"/>
          <w:sz w:val="22"/>
        </w:rPr>
        <w:t xml:space="preserve"> </w:t>
      </w:r>
      <w:bookmarkStart w:id="7" w:name="_Hlk531726685"/>
      <w:r w:rsidR="004E230A" w:rsidRPr="004E230A">
        <w:rPr>
          <w:rFonts w:asciiTheme="majorHAnsi" w:hAnsiTheme="majorHAnsi" w:cstheme="majorHAnsi"/>
          <w:b w:val="0"/>
          <w:sz w:val="22"/>
        </w:rPr>
        <w:t>Pozdější navyšování ceny je nepřípustné.</w:t>
      </w:r>
      <w:bookmarkEnd w:id="7"/>
    </w:p>
    <w:p w14:paraId="36163191" w14:textId="77777777" w:rsidR="005B51DD" w:rsidRPr="005B51DD" w:rsidRDefault="005B51DD" w:rsidP="005B51DD">
      <w:pPr>
        <w:pStyle w:val="Level1"/>
        <w:numPr>
          <w:ilvl w:val="1"/>
          <w:numId w:val="10"/>
        </w:numPr>
        <w:spacing w:before="120" w:after="120"/>
        <w:outlineLvl w:val="1"/>
        <w:rPr>
          <w:rFonts w:asciiTheme="majorHAnsi" w:hAnsiTheme="majorHAnsi" w:cstheme="majorHAnsi"/>
          <w:b w:val="0"/>
          <w:sz w:val="22"/>
        </w:rPr>
      </w:pPr>
      <w:r w:rsidRPr="005B51DD">
        <w:rPr>
          <w:rFonts w:asciiTheme="majorHAnsi" w:hAnsiTheme="majorHAnsi" w:cstheme="majorHAnsi"/>
          <w:b w:val="0"/>
          <w:sz w:val="22"/>
        </w:rPr>
        <w:t>Kupní cena za dodávku stroje ve výši ……… Kč + DPH bude placena následovně:</w:t>
      </w:r>
    </w:p>
    <w:p w14:paraId="7DB15D58" w14:textId="2684735D" w:rsidR="00B54AEE" w:rsidRPr="00C44C92" w:rsidRDefault="00D62E4B" w:rsidP="00B54AEE">
      <w:pPr>
        <w:pStyle w:val="Level1"/>
        <w:numPr>
          <w:ilvl w:val="2"/>
          <w:numId w:val="10"/>
        </w:numPr>
        <w:spacing w:before="120" w:after="120"/>
        <w:outlineLvl w:val="1"/>
        <w:rPr>
          <w:rFonts w:asciiTheme="majorHAnsi" w:hAnsiTheme="majorHAnsi" w:cstheme="majorHAnsi"/>
          <w:b w:val="0"/>
          <w:sz w:val="22"/>
        </w:rPr>
      </w:pPr>
      <w:bookmarkStart w:id="8" w:name="_Hlk7989024"/>
      <w:r>
        <w:rPr>
          <w:rFonts w:asciiTheme="majorHAnsi" w:hAnsiTheme="majorHAnsi" w:cstheme="majorHAnsi"/>
          <w:b w:val="0"/>
          <w:sz w:val="22"/>
        </w:rPr>
        <w:t>4</w:t>
      </w:r>
      <w:r w:rsidR="00B54AEE" w:rsidRPr="00C44C92">
        <w:rPr>
          <w:rFonts w:asciiTheme="majorHAnsi" w:hAnsiTheme="majorHAnsi" w:cstheme="majorHAnsi"/>
          <w:b w:val="0"/>
          <w:sz w:val="22"/>
        </w:rPr>
        <w:t xml:space="preserve">0 % z ceny + DPH do 14 dnů od </w:t>
      </w:r>
      <w:r>
        <w:rPr>
          <w:rFonts w:asciiTheme="majorHAnsi" w:hAnsiTheme="majorHAnsi" w:cstheme="majorHAnsi"/>
          <w:b w:val="0"/>
          <w:sz w:val="22"/>
        </w:rPr>
        <w:t>vystavení závazné objednávky</w:t>
      </w:r>
      <w:r w:rsidR="00B54AEE" w:rsidRPr="00C44C92">
        <w:rPr>
          <w:rFonts w:asciiTheme="majorHAnsi" w:hAnsiTheme="majorHAnsi" w:cstheme="majorHAnsi"/>
          <w:b w:val="0"/>
          <w:sz w:val="22"/>
        </w:rPr>
        <w:t xml:space="preserve"> – záloha</w:t>
      </w:r>
    </w:p>
    <w:p w14:paraId="1856FA86" w14:textId="77777777" w:rsidR="00B54AEE" w:rsidRPr="00C44C92" w:rsidRDefault="00B54AEE" w:rsidP="00B54AEE">
      <w:pPr>
        <w:pStyle w:val="Level1"/>
        <w:numPr>
          <w:ilvl w:val="2"/>
          <w:numId w:val="10"/>
        </w:numPr>
        <w:spacing w:before="120" w:after="120"/>
        <w:outlineLvl w:val="1"/>
        <w:rPr>
          <w:rFonts w:asciiTheme="majorHAnsi" w:hAnsiTheme="majorHAnsi" w:cstheme="majorHAnsi"/>
          <w:b w:val="0"/>
          <w:sz w:val="22"/>
        </w:rPr>
      </w:pPr>
      <w:r w:rsidRPr="00C44C92">
        <w:rPr>
          <w:rFonts w:asciiTheme="majorHAnsi" w:hAnsiTheme="majorHAnsi" w:cstheme="majorHAnsi"/>
          <w:b w:val="0"/>
          <w:sz w:val="22"/>
        </w:rPr>
        <w:t>40 % z ceny + DPH do 14 dnů po dodání do místa plnění, před zprovozněním</w:t>
      </w:r>
    </w:p>
    <w:p w14:paraId="5BD59C67" w14:textId="094DCDEB" w:rsidR="00B54AEE" w:rsidRPr="00C44C92" w:rsidRDefault="00D62E4B" w:rsidP="00B54AEE">
      <w:pPr>
        <w:pStyle w:val="Level1"/>
        <w:numPr>
          <w:ilvl w:val="2"/>
          <w:numId w:val="10"/>
        </w:numPr>
        <w:spacing w:before="120" w:after="120"/>
        <w:outlineLvl w:val="1"/>
        <w:rPr>
          <w:rFonts w:asciiTheme="majorHAnsi" w:hAnsiTheme="majorHAnsi" w:cstheme="majorHAnsi"/>
          <w:b w:val="0"/>
          <w:sz w:val="22"/>
        </w:rPr>
      </w:pPr>
      <w:r>
        <w:rPr>
          <w:rFonts w:asciiTheme="majorHAnsi" w:hAnsiTheme="majorHAnsi" w:cstheme="majorHAnsi"/>
          <w:b w:val="0"/>
          <w:sz w:val="22"/>
        </w:rPr>
        <w:t>2</w:t>
      </w:r>
      <w:r w:rsidR="00B54AEE" w:rsidRPr="00C44C92">
        <w:rPr>
          <w:rFonts w:asciiTheme="majorHAnsi" w:hAnsiTheme="majorHAnsi" w:cstheme="majorHAnsi"/>
          <w:b w:val="0"/>
          <w:sz w:val="22"/>
        </w:rPr>
        <w:t xml:space="preserve">0 % z ceny + DPH do 14 dnů od uvedení stroje do provozu a převzetí </w:t>
      </w:r>
    </w:p>
    <w:p w14:paraId="2CDDFE53" w14:textId="77777777" w:rsidR="00B54AEE" w:rsidRPr="00C44C92" w:rsidRDefault="00B54AEE" w:rsidP="00B54AEE">
      <w:pPr>
        <w:pStyle w:val="Level1"/>
        <w:numPr>
          <w:ilvl w:val="1"/>
          <w:numId w:val="10"/>
        </w:numPr>
        <w:spacing w:before="120" w:after="120"/>
        <w:outlineLvl w:val="1"/>
        <w:rPr>
          <w:rFonts w:asciiTheme="majorHAnsi" w:hAnsiTheme="majorHAnsi" w:cstheme="majorHAnsi"/>
          <w:b w:val="0"/>
          <w:sz w:val="22"/>
        </w:rPr>
      </w:pPr>
      <w:r w:rsidRPr="00C44C92">
        <w:rPr>
          <w:rFonts w:asciiTheme="majorHAnsi" w:hAnsiTheme="majorHAnsi" w:cstheme="majorHAnsi"/>
          <w:b w:val="0"/>
          <w:sz w:val="22"/>
        </w:rPr>
        <w:t>Konečná faktura se zohledněním zaplacených záloh bude vystavena na základě podpisu protokolu o uvedení stroje do provozu se splatností 14 dní. Splatnost zálohových faktur dle bodu 5.3.1, 5.3.2 a 5.3.3 je 14 dnů.</w:t>
      </w:r>
    </w:p>
    <w:p w14:paraId="7D715B70" w14:textId="65058AFA" w:rsidR="00B30F23" w:rsidRPr="00E545BA" w:rsidRDefault="005B51DD" w:rsidP="00B30F23">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Veškeré vystavené faktury</w:t>
      </w:r>
      <w:r w:rsidR="00B30F23" w:rsidRPr="00E545BA">
        <w:rPr>
          <w:rFonts w:asciiTheme="majorHAnsi" w:hAnsiTheme="majorHAnsi" w:cstheme="majorHAnsi"/>
          <w:b w:val="0"/>
          <w:sz w:val="22"/>
        </w:rPr>
        <w:t xml:space="preserve"> bud</w:t>
      </w:r>
      <w:r w:rsidRPr="00E545BA">
        <w:rPr>
          <w:rFonts w:asciiTheme="majorHAnsi" w:hAnsiTheme="majorHAnsi" w:cstheme="majorHAnsi"/>
          <w:b w:val="0"/>
          <w:sz w:val="22"/>
        </w:rPr>
        <w:t>ou</w:t>
      </w:r>
      <w:r w:rsidR="00B30F23" w:rsidRPr="00E545BA">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bookmarkEnd w:id="8"/>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FEF9A0A"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368F33C5" w14:textId="77777777" w:rsidR="00E545BA" w:rsidRPr="00E545BA" w:rsidRDefault="00E545BA" w:rsidP="00E545BA">
      <w:pPr>
        <w:pStyle w:val="Level1"/>
        <w:numPr>
          <w:ilvl w:val="1"/>
          <w:numId w:val="10"/>
        </w:numPr>
        <w:spacing w:before="120" w:after="120"/>
        <w:outlineLvl w:val="1"/>
        <w:rPr>
          <w:rFonts w:asciiTheme="majorHAnsi" w:hAnsiTheme="majorHAnsi" w:cstheme="majorHAnsi"/>
          <w:b w:val="0"/>
          <w:sz w:val="22"/>
        </w:rPr>
      </w:pPr>
      <w:r w:rsidRPr="00E545BA">
        <w:rPr>
          <w:rFonts w:asciiTheme="majorHAnsi" w:hAnsiTheme="majorHAnsi" w:cstheme="majorHAnsi"/>
          <w:b w:val="0"/>
          <w:sz w:val="22"/>
        </w:rPr>
        <w:t>Na fakturách i předávacím protokolu budou uvedeny výrobní čísla (případně jiné typové označení pro daný software)</w:t>
      </w:r>
    </w:p>
    <w:p w14:paraId="25F57B21" w14:textId="2EC1DDF1" w:rsidR="00E545BA" w:rsidRDefault="00E545BA" w:rsidP="00E545BA">
      <w:pPr>
        <w:pStyle w:val="Level1"/>
        <w:numPr>
          <w:ilvl w:val="1"/>
          <w:numId w:val="10"/>
        </w:numPr>
        <w:spacing w:before="120" w:after="120" w:line="276" w:lineRule="auto"/>
        <w:outlineLvl w:val="1"/>
        <w:rPr>
          <w:rFonts w:asciiTheme="majorHAnsi" w:hAnsiTheme="majorHAnsi" w:cstheme="majorHAnsi"/>
          <w:b w:val="0"/>
          <w:sz w:val="22"/>
        </w:rPr>
      </w:pPr>
      <w:r w:rsidRPr="00E545BA">
        <w:rPr>
          <w:rFonts w:asciiTheme="majorHAnsi" w:hAnsiTheme="majorHAnsi" w:cstheme="majorHAnsi"/>
          <w:b w:val="0"/>
          <w:sz w:val="22"/>
        </w:rPr>
        <w:t>Spolu s předávacím protokolem bude předáno prohlášení o shodě.</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9" w:name="bookmark-name-4"/>
      <w:bookmarkEnd w:id="9"/>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Tato kupní smlouva je uzavírána v přímé návaznosti na výsledky zadávacího řízení realizovaného kupujícím, v rámci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10" w:name="bookmark-name-4.3"/>
      <w:bookmarkEnd w:id="10"/>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Prodávající se zavazuje, že předmět Smlouvy bude po dobu záruční lhůty způsobilý pro použití ke smluvenému účelu a zachová po tuto dobu smluvené nebo obvyklé vlastnosti.</w:t>
      </w:r>
    </w:p>
    <w:p w14:paraId="69DC01CC" w14:textId="42806D97" w:rsid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Záruční doba počíná běžet ode dne předání předmětu Smlouvy dle čl. </w:t>
      </w:r>
      <w:r w:rsidR="008A222D">
        <w:rPr>
          <w:rFonts w:asciiTheme="majorHAnsi" w:hAnsiTheme="majorHAnsi" w:cstheme="majorHAnsi"/>
          <w:b w:val="0"/>
          <w:sz w:val="22"/>
        </w:rPr>
        <w:t>3</w:t>
      </w:r>
      <w:r w:rsidRPr="00DD6621">
        <w:rPr>
          <w:rFonts w:asciiTheme="majorHAnsi" w:hAnsiTheme="majorHAnsi" w:cstheme="majorHAnsi"/>
          <w:b w:val="0"/>
          <w:sz w:val="22"/>
        </w:rPr>
        <w:t xml:space="preserve"> této Smlouvy a její délka činí</w:t>
      </w:r>
      <w:r w:rsidR="00077BD8">
        <w:rPr>
          <w:rFonts w:asciiTheme="majorHAnsi" w:hAnsiTheme="majorHAnsi" w:cstheme="majorHAnsi"/>
          <w:b w:val="0"/>
          <w:sz w:val="22"/>
        </w:rPr>
        <w:t xml:space="preserve"> </w:t>
      </w:r>
      <w:r w:rsidR="00E545BA">
        <w:rPr>
          <w:rFonts w:asciiTheme="majorHAnsi" w:hAnsiTheme="majorHAnsi" w:cstheme="majorHAnsi"/>
          <w:b w:val="0"/>
          <w:sz w:val="22"/>
        </w:rPr>
        <w:t>24</w:t>
      </w:r>
      <w:r w:rsidRPr="00DD6621">
        <w:rPr>
          <w:rFonts w:asciiTheme="majorHAnsi" w:hAnsiTheme="majorHAnsi" w:cstheme="majorHAnsi"/>
          <w:b w:val="0"/>
          <w:sz w:val="22"/>
        </w:rPr>
        <w:t xml:space="preserve"> měsíců</w:t>
      </w:r>
      <w:r w:rsidR="004E230A">
        <w:rPr>
          <w:rFonts w:asciiTheme="majorHAnsi" w:hAnsiTheme="majorHAnsi" w:cstheme="majorHAnsi"/>
          <w:b w:val="0"/>
          <w:sz w:val="22"/>
        </w:rPr>
        <w:t>.</w:t>
      </w:r>
    </w:p>
    <w:p w14:paraId="53F917AA" w14:textId="48690D41" w:rsidR="00310E40" w:rsidRPr="00077BD8" w:rsidRDefault="00310E40" w:rsidP="00DD6621">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lastRenderedPageBreak/>
        <w:t xml:space="preserve">Prodávající poskytuje doživotní záruku </w:t>
      </w:r>
      <w:r w:rsidRPr="00310E40">
        <w:rPr>
          <w:rFonts w:asciiTheme="majorHAnsi" w:hAnsiTheme="majorHAnsi" w:cstheme="majorHAnsi"/>
          <w:b w:val="0"/>
          <w:sz w:val="22"/>
        </w:rPr>
        <w:t xml:space="preserve">na dostupnost náhradních dílů pro robotickou jednotku (v průběhu aktivního používání robota uživatelem – </w:t>
      </w:r>
      <w:r>
        <w:rPr>
          <w:rFonts w:asciiTheme="majorHAnsi" w:hAnsiTheme="majorHAnsi" w:cstheme="majorHAnsi"/>
          <w:b w:val="0"/>
          <w:sz w:val="22"/>
        </w:rPr>
        <w:t>Kupujícím</w:t>
      </w:r>
      <w:r w:rsidRPr="00310E40">
        <w:rPr>
          <w:rFonts w:asciiTheme="majorHAnsi" w:hAnsiTheme="majorHAnsi" w:cstheme="majorHAnsi"/>
          <w:b w:val="0"/>
          <w:sz w:val="22"/>
        </w:rPr>
        <w:t>).</w:t>
      </w:r>
    </w:p>
    <w:p w14:paraId="39A1E256" w14:textId="117B30D6" w:rsidR="00077BD8" w:rsidRPr="00077BD8" w:rsidRDefault="00077BD8" w:rsidP="00077BD8">
      <w:pPr>
        <w:pStyle w:val="Level1"/>
        <w:numPr>
          <w:ilvl w:val="1"/>
          <w:numId w:val="10"/>
        </w:numPr>
        <w:spacing w:before="120" w:after="120"/>
        <w:outlineLvl w:val="1"/>
        <w:rPr>
          <w:rFonts w:asciiTheme="majorHAnsi" w:hAnsiTheme="majorHAnsi" w:cstheme="majorHAnsi"/>
          <w:b w:val="0"/>
          <w:sz w:val="22"/>
        </w:rPr>
      </w:pPr>
      <w:r w:rsidRPr="00077BD8">
        <w:rPr>
          <w:rFonts w:asciiTheme="majorHAnsi" w:hAnsiTheme="majorHAnsi" w:cstheme="majorHAnsi"/>
          <w:b w:val="0"/>
          <w:sz w:val="22"/>
        </w:rPr>
        <w:t>V rámci servisních podmínek dodavatel zajistí reakci a informaci ohledně závady do 24 hodin od zjištění závady následně zajistí servisní výjezd do 48 hodin, pokud je to k</w:t>
      </w:r>
      <w:r>
        <w:rPr>
          <w:rFonts w:asciiTheme="majorHAnsi" w:hAnsiTheme="majorHAnsi" w:cstheme="majorHAnsi"/>
          <w:b w:val="0"/>
          <w:sz w:val="22"/>
        </w:rPr>
        <w:t> </w:t>
      </w:r>
      <w:r w:rsidRPr="00077BD8">
        <w:rPr>
          <w:rFonts w:asciiTheme="majorHAnsi" w:hAnsiTheme="majorHAnsi" w:cstheme="majorHAnsi"/>
          <w:b w:val="0"/>
          <w:sz w:val="22"/>
        </w:rPr>
        <w:t>odstranění závady nezbytné.</w:t>
      </w:r>
    </w:p>
    <w:p w14:paraId="2A55CDC7" w14:textId="32D189A8" w:rsidR="00077BD8" w:rsidRPr="00DD6621" w:rsidRDefault="00077BD8" w:rsidP="00077BD8">
      <w:pPr>
        <w:pStyle w:val="Level1"/>
        <w:numPr>
          <w:ilvl w:val="1"/>
          <w:numId w:val="10"/>
        </w:numPr>
        <w:spacing w:before="120" w:after="120" w:line="276" w:lineRule="auto"/>
        <w:outlineLvl w:val="1"/>
        <w:rPr>
          <w:rFonts w:asciiTheme="majorHAnsi" w:hAnsiTheme="majorHAnsi" w:cstheme="majorHAnsi"/>
          <w:b w:val="0"/>
          <w:sz w:val="22"/>
        </w:rPr>
      </w:pPr>
      <w:r w:rsidRPr="00077BD8">
        <w:rPr>
          <w:rFonts w:asciiTheme="majorHAnsi" w:hAnsiTheme="majorHAnsi" w:cstheme="majorHAnsi"/>
          <w:b w:val="0"/>
          <w:sz w:val="22"/>
        </w:rPr>
        <w:t xml:space="preserve">V případě nezáručního servisu bude dodavatel účtovat objednateli náklady dopravy max. za vzdálenost </w:t>
      </w:r>
      <w:r w:rsidR="00A17D20">
        <w:rPr>
          <w:rFonts w:asciiTheme="majorHAnsi" w:hAnsiTheme="majorHAnsi" w:cstheme="majorHAnsi"/>
          <w:b w:val="0"/>
          <w:sz w:val="22"/>
        </w:rPr>
        <w:t>1</w:t>
      </w:r>
      <w:r w:rsidR="00174F32">
        <w:rPr>
          <w:rFonts w:asciiTheme="majorHAnsi" w:hAnsiTheme="majorHAnsi" w:cstheme="majorHAnsi"/>
          <w:b w:val="0"/>
          <w:sz w:val="22"/>
        </w:rPr>
        <w:t>2</w:t>
      </w:r>
      <w:bookmarkStart w:id="11" w:name="_GoBack"/>
      <w:bookmarkEnd w:id="11"/>
      <w:r w:rsidRPr="00077BD8">
        <w:rPr>
          <w:rFonts w:asciiTheme="majorHAnsi" w:hAnsiTheme="majorHAnsi" w:cstheme="majorHAnsi"/>
          <w:b w:val="0"/>
          <w:sz w:val="22"/>
        </w:rPr>
        <w:t>0 km k místu zásahu. Náklady dopravy nad tuto vzdálenost jsou věcí dodavatele</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12" w:name="bookmark-name-5"/>
      <w:bookmarkEnd w:id="12"/>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3" w:name="bookmark-name-5.1"/>
      <w:bookmarkStart w:id="14" w:name="bookmark-name-6"/>
      <w:bookmarkEnd w:id="13"/>
      <w:bookmarkEnd w:id="14"/>
      <w:r w:rsidRPr="0071219C">
        <w:rPr>
          <w:rFonts w:asciiTheme="majorHAnsi" w:hAnsiTheme="majorHAnsi" w:cstheme="majorHAnsi"/>
          <w:b w:val="0"/>
          <w:sz w:val="22"/>
        </w:rPr>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5" w:name="bookmark-name-8"/>
      <w:bookmarkEnd w:id="15"/>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6" w:name="bookmark-name-8.1"/>
      <w:bookmarkStart w:id="17" w:name="bookmark-name-9"/>
      <w:bookmarkStart w:id="18" w:name="bookmark-name-10"/>
      <w:bookmarkEnd w:id="16"/>
      <w:bookmarkEnd w:id="17"/>
      <w:bookmarkEnd w:id="18"/>
      <w:r w:rsidRPr="00DD6621">
        <w:rPr>
          <w:rFonts w:asciiTheme="majorHAnsi" w:hAnsiTheme="majorHAnsi" w:cstheme="majorHAnsi"/>
          <w:bCs/>
          <w:sz w:val="22"/>
        </w:rPr>
        <w:lastRenderedPageBreak/>
        <w:t>Závěrečná ustanovení</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bookmarkStart w:id="19" w:name="bookmark-name-10.1"/>
      <w:bookmarkStart w:id="20" w:name="bookmark-name-10.8"/>
      <w:bookmarkEnd w:id="19"/>
      <w:bookmarkEnd w:id="20"/>
      <w:r w:rsidRPr="008A222D">
        <w:rPr>
          <w:rFonts w:asciiTheme="majorHAnsi" w:hAnsiTheme="majorHAnsi" w:cstheme="majorHAnsi"/>
          <w:sz w:val="22"/>
        </w:rPr>
        <w:t>Smlouvu lze měnit či doplňovat pouze písemnými číslovanými dodatky, odsouhlasenými oběma smluvními stranami, nevyplývá-li ze smlouvy něco jiného.</w:t>
      </w:r>
    </w:p>
    <w:p w14:paraId="2195C3B9" w14:textId="7E6B0BF7"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6BB6EF00" w14:textId="1080C795" w:rsidR="00E16068" w:rsidRPr="00E16068" w:rsidRDefault="00E16068" w:rsidP="00E16068">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t>Tato smlouva byla uzavřena na základě výběrového řízení, kdy hodnotícím kritériem byla nejnižší nabídková cena za dodávku bez DPH</w:t>
      </w:r>
      <w:r w:rsidR="00310E40">
        <w:rPr>
          <w:rFonts w:asciiTheme="majorHAnsi" w:hAnsiTheme="majorHAnsi" w:cstheme="majorHAnsi"/>
          <w:sz w:val="22"/>
        </w:rPr>
        <w:t>.</w:t>
      </w:r>
    </w:p>
    <w:p w14:paraId="09825A3D"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4D6633A3" w14:textId="12CF752B" w:rsidR="008B3B33" w:rsidRDefault="008A222D" w:rsidP="00E545BA">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 xml:space="preserve">V ostatních věcech, které nejsou přímo upraveny touto smlouvou, řídí se právní vztahy smluvních stran platným právním řádem České republiky. </w:t>
      </w:r>
    </w:p>
    <w:p w14:paraId="64A1C71A" w14:textId="77777777" w:rsidR="00121340" w:rsidRPr="00907055" w:rsidRDefault="00121340" w:rsidP="00121340">
      <w:pPr>
        <w:pStyle w:val="Level2"/>
        <w:numPr>
          <w:ilvl w:val="1"/>
          <w:numId w:val="10"/>
        </w:numPr>
        <w:spacing w:before="120" w:after="120" w:line="276" w:lineRule="auto"/>
        <w:outlineLvl w:val="2"/>
        <w:rPr>
          <w:rFonts w:asciiTheme="majorHAnsi" w:hAnsiTheme="majorHAnsi" w:cstheme="majorHAnsi"/>
          <w:sz w:val="22"/>
        </w:rPr>
      </w:pPr>
      <w:r w:rsidRPr="00907055">
        <w:rPr>
          <w:bCs/>
          <w:iCs/>
          <w:color w:val="000000"/>
          <w:sz w:val="22"/>
        </w:rPr>
        <w:t>Platnost smlouvy je podmíněna získáním příslušné dotace – podpisem Dohody se Státním zemědělským intervenčním fondem (dále jen SZIF) - poskytovatelem dotace</w:t>
      </w:r>
      <w:r>
        <w:rPr>
          <w:bCs/>
          <w:iCs/>
          <w:color w:val="000000"/>
          <w:sz w:val="22"/>
        </w:rPr>
        <w:t>.</w:t>
      </w:r>
    </w:p>
    <w:p w14:paraId="2D601527" w14:textId="77777777" w:rsidR="00121340" w:rsidRPr="00907055" w:rsidRDefault="00121340" w:rsidP="00121340">
      <w:pPr>
        <w:pStyle w:val="Level2"/>
        <w:numPr>
          <w:ilvl w:val="2"/>
          <w:numId w:val="10"/>
        </w:numPr>
        <w:spacing w:before="120" w:after="120" w:line="276" w:lineRule="auto"/>
        <w:outlineLvl w:val="2"/>
        <w:rPr>
          <w:rFonts w:asciiTheme="majorHAnsi" w:hAnsiTheme="majorHAnsi" w:cstheme="majorHAnsi"/>
          <w:sz w:val="22"/>
        </w:rPr>
      </w:pPr>
      <w:r w:rsidRPr="00907055">
        <w:rPr>
          <w:bCs/>
          <w:iCs/>
          <w:color w:val="000000"/>
          <w:sz w:val="22"/>
        </w:rPr>
        <w:t>Až po podpisu výše zmíněné Dohody se SZIF zadavatel vystaví závaznou objednávku na realizaci požadovaného plnění, do té doby nemá povinnost předmět realizace skutečně objednat</w:t>
      </w:r>
    </w:p>
    <w:p w14:paraId="5A183170" w14:textId="58E21DB4" w:rsidR="00121340" w:rsidRPr="00907055" w:rsidRDefault="00121340" w:rsidP="00121340">
      <w:pPr>
        <w:pStyle w:val="Level2"/>
        <w:numPr>
          <w:ilvl w:val="2"/>
          <w:numId w:val="10"/>
        </w:numPr>
        <w:spacing w:before="120" w:after="120" w:line="276" w:lineRule="auto"/>
        <w:outlineLvl w:val="2"/>
        <w:rPr>
          <w:rFonts w:asciiTheme="majorHAnsi" w:hAnsiTheme="majorHAnsi" w:cstheme="majorHAnsi"/>
          <w:sz w:val="22"/>
        </w:rPr>
      </w:pPr>
      <w:r w:rsidRPr="00907055">
        <w:rPr>
          <w:bCs/>
          <w:iCs/>
          <w:color w:val="000000"/>
          <w:sz w:val="22"/>
        </w:rPr>
        <w:t xml:space="preserve">Podpis Dohody dle Harmonogramu administrace Žádostí o dotaci výzev Programu rozvoje venkova pro roky 2014-2020 je </w:t>
      </w:r>
      <w:r w:rsidRPr="00FE5CC7">
        <w:rPr>
          <w:bCs/>
          <w:iCs/>
          <w:color w:val="000000"/>
          <w:sz w:val="22"/>
        </w:rPr>
        <w:t xml:space="preserve">předpokládán v měsících </w:t>
      </w:r>
      <w:r>
        <w:rPr>
          <w:bCs/>
          <w:iCs/>
          <w:color w:val="000000"/>
          <w:sz w:val="22"/>
        </w:rPr>
        <w:t>leden–únor 2020.</w:t>
      </w:r>
      <w:r w:rsidRPr="00907055">
        <w:rPr>
          <w:bCs/>
          <w:iCs/>
          <w:color w:val="000000"/>
          <w:sz w:val="22"/>
        </w:rPr>
        <w:t xml:space="preserve"> </w:t>
      </w:r>
    </w:p>
    <w:p w14:paraId="6D2D7F55" w14:textId="77777777" w:rsidR="00121340" w:rsidRPr="00907055" w:rsidRDefault="00121340" w:rsidP="00121340">
      <w:pPr>
        <w:pStyle w:val="Level2"/>
        <w:numPr>
          <w:ilvl w:val="2"/>
          <w:numId w:val="10"/>
        </w:numPr>
        <w:spacing w:before="120" w:after="120" w:line="276" w:lineRule="auto"/>
        <w:outlineLvl w:val="2"/>
        <w:rPr>
          <w:rFonts w:asciiTheme="majorHAnsi" w:hAnsiTheme="majorHAnsi" w:cstheme="majorHAnsi"/>
          <w:sz w:val="22"/>
        </w:rPr>
      </w:pPr>
      <w:r w:rsidRPr="00907055">
        <w:rPr>
          <w:bCs/>
          <w:iCs/>
          <w:color w:val="000000"/>
          <w:sz w:val="22"/>
        </w:rPr>
        <w:t>Po vzájemné písemné dohodě s dodavatelem, se kterým byla uzavřena smlouva, bude možné zahájit realizaci zakázky i před podpisem výše zmíněné Dohody po obdržení objednávky na realizaci zakázky. Tato situace může nastat kdykoliv po podpisu Smlouvy s dodavatelem.</w:t>
      </w:r>
    </w:p>
    <w:p w14:paraId="45DAC2D4" w14:textId="46F18AEC" w:rsidR="008A222D" w:rsidRDefault="008A222D" w:rsidP="008A222D">
      <w:pPr>
        <w:pStyle w:val="Level2"/>
        <w:spacing w:before="120" w:after="120" w:line="276" w:lineRule="auto"/>
        <w:outlineLvl w:val="2"/>
        <w:rPr>
          <w:rFonts w:asciiTheme="majorHAnsi" w:hAnsiTheme="majorHAnsi" w:cstheme="majorHAnsi"/>
          <w:sz w:val="22"/>
        </w:rPr>
      </w:pPr>
    </w:p>
    <w:p w14:paraId="3B6B61F7" w14:textId="77777777" w:rsidR="00E545BA" w:rsidRPr="00C44C92" w:rsidRDefault="00E545BA"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488BF17E" w:rsidR="008A222D" w:rsidRPr="00C44C92" w:rsidRDefault="008A222D" w:rsidP="002F0CBF">
            <w:pPr>
              <w:spacing w:after="240"/>
              <w:jc w:val="both"/>
              <w:rPr>
                <w:sz w:val="22"/>
                <w:szCs w:val="22"/>
              </w:rPr>
            </w:pPr>
            <w:r w:rsidRPr="00C44C92">
              <w:rPr>
                <w:sz w:val="22"/>
                <w:szCs w:val="22"/>
              </w:rPr>
              <w:t xml:space="preserve">V </w:t>
            </w:r>
            <w:r w:rsidR="00310E40">
              <w:rPr>
                <w:sz w:val="22"/>
                <w:szCs w:val="22"/>
              </w:rPr>
              <w:t>………………</w:t>
            </w:r>
            <w:r w:rsidRPr="00C44C92">
              <w:rPr>
                <w:sz w:val="22"/>
                <w:szCs w:val="22"/>
              </w:rPr>
              <w:t>,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46B9B70C" w14:textId="22F40122" w:rsidR="008A222D" w:rsidRPr="00C44C92" w:rsidRDefault="00310E40" w:rsidP="00310E40">
            <w:pPr>
              <w:spacing w:before="240" w:after="240"/>
              <w:rPr>
                <w:sz w:val="22"/>
                <w:szCs w:val="22"/>
              </w:rPr>
            </w:pPr>
            <w:r w:rsidRPr="00310E40">
              <w:rPr>
                <w:sz w:val="22"/>
                <w:szCs w:val="22"/>
              </w:rPr>
              <w:t xml:space="preserve">Ing. MARCEL MACEČEK, jednatel </w:t>
            </w:r>
          </w:p>
        </w:tc>
      </w:tr>
    </w:tbl>
    <w:p w14:paraId="4B383934" w14:textId="77777777" w:rsidR="008B3B33" w:rsidRPr="00C44C92" w:rsidRDefault="008B3B33" w:rsidP="008B3B33"/>
    <w:p w14:paraId="46F768F1" w14:textId="77777777" w:rsidR="008B3B33" w:rsidRPr="00C44C92" w:rsidRDefault="008B3B33" w:rsidP="008B3B33">
      <w:pPr>
        <w:spacing w:after="0"/>
        <w:outlineLvl w:val="0"/>
        <w:rPr>
          <w:b/>
          <w:i/>
        </w:rPr>
      </w:pPr>
    </w:p>
    <w:p w14:paraId="1C81B25B" w14:textId="77777777" w:rsidR="008B3B33" w:rsidRPr="00C44C92" w:rsidRDefault="008B3B33" w:rsidP="008B3B33">
      <w:pPr>
        <w:spacing w:after="0"/>
        <w:outlineLvl w:val="0"/>
        <w:rPr>
          <w:b/>
          <w:i/>
        </w:rPr>
      </w:pPr>
      <w:r w:rsidRPr="00C44C92">
        <w:rPr>
          <w:b/>
          <w:i/>
        </w:rPr>
        <w:lastRenderedPageBreak/>
        <w:t>Přílohy:</w:t>
      </w:r>
    </w:p>
    <w:p w14:paraId="4DC0AD6A" w14:textId="6F4FEFC8" w:rsidR="00AF5136" w:rsidRPr="00C44C92" w:rsidRDefault="008B3B33" w:rsidP="00E545BA">
      <w:pPr>
        <w:spacing w:after="0"/>
        <w:rPr>
          <w:rFonts w:asciiTheme="majorHAnsi" w:hAnsiTheme="majorHAnsi" w:cstheme="majorHAnsi"/>
        </w:rPr>
      </w:pPr>
      <w:r w:rsidRPr="00C44C92">
        <w:rPr>
          <w:i/>
        </w:rPr>
        <w:t>příloha č.1</w:t>
      </w:r>
      <w:r w:rsidRPr="00C44C92">
        <w:rPr>
          <w:i/>
        </w:rPr>
        <w:tab/>
        <w:t>Technická specifikace předmětu smlouvy</w:t>
      </w: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703E" w14:textId="77777777" w:rsidR="00692CD8" w:rsidRDefault="00692CD8" w:rsidP="006E0FDA">
      <w:pPr>
        <w:spacing w:after="0" w:line="240" w:lineRule="auto"/>
      </w:pPr>
      <w:r>
        <w:separator/>
      </w:r>
    </w:p>
  </w:endnote>
  <w:endnote w:type="continuationSeparator" w:id="0">
    <w:p w14:paraId="284A7DD8" w14:textId="77777777" w:rsidR="00692CD8" w:rsidRDefault="00692CD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1C5A9D">
              <w:rPr>
                <w:noProof/>
              </w:rPr>
              <w:t>1</w:t>
            </w:r>
            <w:r>
              <w:fldChar w:fldCharType="end"/>
            </w:r>
            <w:r>
              <w:t>/</w:t>
            </w:r>
            <w:r>
              <w:fldChar w:fldCharType="begin"/>
            </w:r>
            <w:r>
              <w:instrText xml:space="preserve">NUMPAGES  </w:instrText>
            </w:r>
            <w:r>
              <w:fldChar w:fldCharType="separate"/>
            </w:r>
            <w:r w:rsidR="001C5A9D">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464E" w14:textId="77777777" w:rsidR="00692CD8" w:rsidRDefault="00692CD8" w:rsidP="006E0FDA">
      <w:pPr>
        <w:spacing w:after="0" w:line="240" w:lineRule="auto"/>
      </w:pPr>
      <w:r>
        <w:separator/>
      </w:r>
    </w:p>
  </w:footnote>
  <w:footnote w:type="continuationSeparator" w:id="0">
    <w:p w14:paraId="6128D8A5" w14:textId="77777777" w:rsidR="00692CD8" w:rsidRDefault="00692CD8"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9200"/>
      <w:gridCol w:w="1010"/>
    </w:tblGrid>
    <w:tr w:rsidR="00E01459" w14:paraId="3D02A24D" w14:textId="77777777" w:rsidTr="002F0CBF">
      <w:trPr>
        <w:trHeight w:val="1051"/>
      </w:trPr>
      <w:tc>
        <w:tcPr>
          <w:tcW w:w="5145" w:type="dxa"/>
          <w:vAlign w:val="center"/>
          <w:hideMark/>
        </w:tcPr>
        <w:p w14:paraId="30284981" w14:textId="6044F06F" w:rsidR="00E01459" w:rsidRPr="009F5562" w:rsidRDefault="00D9320D" w:rsidP="00E01459">
          <w:pPr>
            <w:pStyle w:val="Zhlav"/>
            <w:rPr>
              <w:b/>
              <w:sz w:val="28"/>
              <w:szCs w:val="28"/>
            </w:rPr>
          </w:pPr>
          <w:r>
            <w:rPr>
              <w:noProof/>
            </w:rPr>
            <w:drawing>
              <wp:inline distT="0" distB="0" distL="0" distR="0" wp14:anchorId="4FC8C903" wp14:editId="64D44723">
                <wp:extent cx="5752465" cy="850900"/>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50900"/>
                        </a:xfrm>
                        <a:prstGeom prst="rect">
                          <a:avLst/>
                        </a:prstGeom>
                        <a:noFill/>
                        <a:ln>
                          <a:noFill/>
                        </a:ln>
                      </pic:spPr>
                    </pic:pic>
                  </a:graphicData>
                </a:graphic>
              </wp:inline>
            </w:drawing>
          </w:r>
        </w:p>
      </w:tc>
      <w:tc>
        <w:tcPr>
          <w:tcW w:w="5065" w:type="dxa"/>
          <w:vAlign w:val="center"/>
          <w:hideMark/>
        </w:tcPr>
        <w:p w14:paraId="149897C2" w14:textId="426B47FE" w:rsidR="00E01459" w:rsidRDefault="00E01459" w:rsidP="00E01459">
          <w:pPr>
            <w:pStyle w:val="Zhlav"/>
            <w:jc w:val="center"/>
          </w:pP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CE04812"/>
    <w:multiLevelType w:val="multilevel"/>
    <w:tmpl w:val="047AFCBA"/>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3."/>
      <w:lvlJc w:val="left"/>
      <w:pPr>
        <w:ind w:left="0" w:hanging="720"/>
      </w:pPr>
      <w:rPr>
        <w:rFonts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403C02"/>
    <w:multiLevelType w:val="multilevel"/>
    <w:tmpl w:val="A2869606"/>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4468AE"/>
    <w:multiLevelType w:val="multilevel"/>
    <w:tmpl w:val="65A616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bullet"/>
      <w:lvlText w:val=""/>
      <w:lvlJc w:val="left"/>
      <w:pPr>
        <w:ind w:left="0" w:hanging="720"/>
      </w:pPr>
      <w:rPr>
        <w:rFonts w:ascii="Symbol" w:hAnsi="Symbol" w:hint="default"/>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6"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7"/>
  </w:num>
  <w:num w:numId="6">
    <w:abstractNumId w:val="5"/>
  </w:num>
  <w:num w:numId="7">
    <w:abstractNumId w:val="9"/>
  </w:num>
  <w:num w:numId="8">
    <w:abstractNumId w:val="2"/>
  </w:num>
  <w:num w:numId="9">
    <w:abstractNumId w:val="15"/>
  </w:num>
  <w:num w:numId="10">
    <w:abstractNumId w:val="8"/>
  </w:num>
  <w:num w:numId="11">
    <w:abstractNumId w:val="1"/>
  </w:num>
  <w:num w:numId="12">
    <w:abstractNumId w:val="4"/>
  </w:num>
  <w:num w:numId="13">
    <w:abstractNumId w:val="0"/>
  </w:num>
  <w:num w:numId="14">
    <w:abstractNumId w:val="17"/>
  </w:num>
  <w:num w:numId="15">
    <w:abstractNumId w:val="3"/>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2B48"/>
    <w:rsid w:val="00065F9C"/>
    <w:rsid w:val="00077BD8"/>
    <w:rsid w:val="000B0C7D"/>
    <w:rsid w:val="000C3372"/>
    <w:rsid w:val="000F6147"/>
    <w:rsid w:val="00112029"/>
    <w:rsid w:val="00121340"/>
    <w:rsid w:val="00135412"/>
    <w:rsid w:val="00174F32"/>
    <w:rsid w:val="00182291"/>
    <w:rsid w:val="001C5A9D"/>
    <w:rsid w:val="001F083B"/>
    <w:rsid w:val="00291E9F"/>
    <w:rsid w:val="002F3D7F"/>
    <w:rsid w:val="00310E40"/>
    <w:rsid w:val="00317323"/>
    <w:rsid w:val="00361FF4"/>
    <w:rsid w:val="00366E5C"/>
    <w:rsid w:val="003766B5"/>
    <w:rsid w:val="003B5299"/>
    <w:rsid w:val="003F648E"/>
    <w:rsid w:val="004662A9"/>
    <w:rsid w:val="00493A0C"/>
    <w:rsid w:val="004B7DA1"/>
    <w:rsid w:val="004D6B48"/>
    <w:rsid w:val="004E230A"/>
    <w:rsid w:val="00531A4E"/>
    <w:rsid w:val="00535F5A"/>
    <w:rsid w:val="00555F58"/>
    <w:rsid w:val="005B51DD"/>
    <w:rsid w:val="00606A22"/>
    <w:rsid w:val="00614A3E"/>
    <w:rsid w:val="00644683"/>
    <w:rsid w:val="00691BED"/>
    <w:rsid w:val="00692CD8"/>
    <w:rsid w:val="006D203D"/>
    <w:rsid w:val="006E3A49"/>
    <w:rsid w:val="006E6663"/>
    <w:rsid w:val="006F0252"/>
    <w:rsid w:val="0071219C"/>
    <w:rsid w:val="007B7366"/>
    <w:rsid w:val="007D6513"/>
    <w:rsid w:val="008043DB"/>
    <w:rsid w:val="00857C54"/>
    <w:rsid w:val="00894312"/>
    <w:rsid w:val="008A222D"/>
    <w:rsid w:val="008B3AC2"/>
    <w:rsid w:val="008B3B33"/>
    <w:rsid w:val="008F5430"/>
    <w:rsid w:val="008F680D"/>
    <w:rsid w:val="009B4208"/>
    <w:rsid w:val="009C06FA"/>
    <w:rsid w:val="00A17D20"/>
    <w:rsid w:val="00A75744"/>
    <w:rsid w:val="00A9552B"/>
    <w:rsid w:val="00AC197E"/>
    <w:rsid w:val="00AF5136"/>
    <w:rsid w:val="00B00720"/>
    <w:rsid w:val="00B16930"/>
    <w:rsid w:val="00B21D59"/>
    <w:rsid w:val="00B30F23"/>
    <w:rsid w:val="00B54AEE"/>
    <w:rsid w:val="00BD419F"/>
    <w:rsid w:val="00BF6B43"/>
    <w:rsid w:val="00C44C92"/>
    <w:rsid w:val="00D62E4B"/>
    <w:rsid w:val="00D9320D"/>
    <w:rsid w:val="00DB52C4"/>
    <w:rsid w:val="00DD6621"/>
    <w:rsid w:val="00DF064E"/>
    <w:rsid w:val="00E01459"/>
    <w:rsid w:val="00E152EB"/>
    <w:rsid w:val="00E16068"/>
    <w:rsid w:val="00E545BA"/>
    <w:rsid w:val="00ED7035"/>
    <w:rsid w:val="00F20A00"/>
    <w:rsid w:val="00F85F83"/>
    <w:rsid w:val="00FB4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7AD4FB08-091D-4CB8-B004-BBBBC41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545BA"/>
    <w:pPr>
      <w:spacing w:after="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87AC-B59C-406F-ABE4-149C5320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1427</Words>
  <Characters>8426</Characters>
  <Application>Microsoft Office Word</Application>
  <DocSecurity>0</DocSecurity>
  <Lines>70</Lines>
  <Paragraphs>19</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Legito</dc:creator>
  <cp:keywords/>
  <dc:description/>
  <cp:lastModifiedBy>Daša Vašutová</cp:lastModifiedBy>
  <cp:revision>7</cp:revision>
  <dcterms:created xsi:type="dcterms:W3CDTF">2019-08-14T20:41:00Z</dcterms:created>
  <dcterms:modified xsi:type="dcterms:W3CDTF">2019-08-23T10:50:00Z</dcterms:modified>
</cp:coreProperties>
</file>