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A8A" w14:textId="132D1AAF" w:rsidR="000F1A72" w:rsidRPr="00545DC7" w:rsidRDefault="00E17FA5" w:rsidP="00E17FA5">
      <w:pPr>
        <w:spacing w:after="480"/>
        <w:jc w:val="center"/>
        <w:rPr>
          <w:b/>
          <w:sz w:val="32"/>
        </w:rPr>
      </w:pPr>
      <w:r w:rsidRPr="00545DC7">
        <w:rPr>
          <w:b/>
          <w:sz w:val="32"/>
        </w:rPr>
        <w:br/>
      </w:r>
      <w:r w:rsidR="000F1A72" w:rsidRPr="00545DC7">
        <w:rPr>
          <w:b/>
          <w:sz w:val="32"/>
        </w:rPr>
        <w:t>DOHODA O ZACHOVÁNÍ MLČENLIVOSTI</w:t>
      </w:r>
    </w:p>
    <w:p w14:paraId="03719F91" w14:textId="77777777" w:rsidR="00E17FA5" w:rsidRPr="00545DC7" w:rsidRDefault="00E17FA5" w:rsidP="000F1A72">
      <w:pPr>
        <w:jc w:val="both"/>
        <w:rPr>
          <w:rStyle w:val="Siln"/>
          <w:sz w:val="22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51"/>
      </w:tblGrid>
      <w:tr w:rsidR="004E4646" w:rsidRPr="00545DC7" w14:paraId="03342308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78D78EE7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4651" w:type="dxa"/>
            <w:vAlign w:val="center"/>
          </w:tcPr>
          <w:p w14:paraId="00922F7B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Petr Hobža Snack a.s.</w:t>
            </w:r>
          </w:p>
        </w:tc>
      </w:tr>
      <w:tr w:rsidR="004E4646" w:rsidRPr="00545DC7" w14:paraId="501AA17C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023096DE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4651" w:type="dxa"/>
            <w:vAlign w:val="center"/>
          </w:tcPr>
          <w:p w14:paraId="1D188107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 xml:space="preserve">Za Drahou 1857, 696 62 Strážnice </w:t>
            </w:r>
          </w:p>
        </w:tc>
      </w:tr>
      <w:tr w:rsidR="004E4646" w:rsidRPr="00545DC7" w14:paraId="1F5A958E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28B1FEC5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Zapsána v:</w:t>
            </w:r>
          </w:p>
        </w:tc>
        <w:tc>
          <w:tcPr>
            <w:tcW w:w="4651" w:type="dxa"/>
            <w:vAlign w:val="center"/>
          </w:tcPr>
          <w:p w14:paraId="4F87948C" w14:textId="77777777" w:rsidR="004E4646" w:rsidRPr="00545DC7" w:rsidRDefault="004E4646" w:rsidP="00C70C99">
            <w:pPr>
              <w:rPr>
                <w:sz w:val="22"/>
                <w:szCs w:val="22"/>
              </w:rPr>
            </w:pPr>
            <w:r w:rsidRPr="00545DC7">
              <w:rPr>
                <w:sz w:val="22"/>
                <w:szCs w:val="22"/>
              </w:rPr>
              <w:t>Obchodním rejstříku vedeném Městským soudem v Brně, oddíl B, vložka 7841</w:t>
            </w:r>
          </w:p>
        </w:tc>
      </w:tr>
      <w:tr w:rsidR="004E4646" w:rsidRPr="00545DC7" w14:paraId="6F41E6A7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71282221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4651" w:type="dxa"/>
            <w:vAlign w:val="center"/>
          </w:tcPr>
          <w:p w14:paraId="2BB23903" w14:textId="77777777" w:rsidR="004E4646" w:rsidRPr="00545DC7" w:rsidRDefault="004E4646" w:rsidP="00C70C99">
            <w:pPr>
              <w:rPr>
                <w:sz w:val="22"/>
                <w:szCs w:val="22"/>
              </w:rPr>
            </w:pPr>
            <w:r w:rsidRPr="00545DC7">
              <w:rPr>
                <w:sz w:val="22"/>
                <w:szCs w:val="22"/>
              </w:rPr>
              <w:t>MSc. Petr Hobža ml., Ing. Libor Hobža, BA</w:t>
            </w:r>
          </w:p>
        </w:tc>
      </w:tr>
      <w:tr w:rsidR="004E4646" w:rsidRPr="00545DC7" w14:paraId="22A6EB2F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4E3A8835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651" w:type="dxa"/>
            <w:vAlign w:val="center"/>
          </w:tcPr>
          <w:p w14:paraId="368836B1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06514731</w:t>
            </w:r>
          </w:p>
        </w:tc>
      </w:tr>
    </w:tbl>
    <w:p w14:paraId="5CF33225" w14:textId="77777777" w:rsidR="004E4646" w:rsidRPr="00545DC7" w:rsidRDefault="004E4646" w:rsidP="000F1A72">
      <w:pPr>
        <w:jc w:val="both"/>
        <w:rPr>
          <w:rStyle w:val="Siln"/>
          <w:sz w:val="22"/>
        </w:rPr>
      </w:pPr>
    </w:p>
    <w:p w14:paraId="70D9BEB1" w14:textId="1B45B9BC" w:rsidR="000F1A72" w:rsidRPr="00545DC7" w:rsidRDefault="000F1A72" w:rsidP="000F1A72">
      <w:pPr>
        <w:jc w:val="both"/>
        <w:rPr>
          <w:rStyle w:val="Siln"/>
          <w:b w:val="0"/>
          <w:sz w:val="22"/>
        </w:rPr>
      </w:pPr>
      <w:r w:rsidRPr="00545DC7">
        <w:rPr>
          <w:rStyle w:val="Siln"/>
          <w:sz w:val="22"/>
        </w:rPr>
        <w:t>(dále jen „Zadavatel zakázky“)</w:t>
      </w:r>
    </w:p>
    <w:p w14:paraId="6C7575A6" w14:textId="77777777" w:rsidR="000F1A72" w:rsidRPr="00545DC7" w:rsidRDefault="000F1A72" w:rsidP="000F1A72">
      <w:pPr>
        <w:spacing w:before="120" w:after="120"/>
        <w:jc w:val="both"/>
        <w:rPr>
          <w:rStyle w:val="Siln"/>
          <w:b w:val="0"/>
          <w:sz w:val="22"/>
        </w:rPr>
      </w:pPr>
      <w:r w:rsidRPr="00545DC7">
        <w:rPr>
          <w:rStyle w:val="Siln"/>
          <w:sz w:val="22"/>
        </w:rPr>
        <w:t xml:space="preserve">a </w:t>
      </w:r>
    </w:p>
    <w:p w14:paraId="5952C47A" w14:textId="77777777" w:rsidR="004E4646" w:rsidRPr="00545DC7" w:rsidRDefault="004E4646" w:rsidP="000F1A72">
      <w:pPr>
        <w:jc w:val="both"/>
        <w:rPr>
          <w:rStyle w:val="Siln"/>
          <w:sz w:val="22"/>
        </w:rPr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51"/>
      </w:tblGrid>
      <w:tr w:rsidR="004E4646" w:rsidRPr="00545DC7" w14:paraId="7A02A0ED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0E4BEC7D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Společnost:</w:t>
            </w:r>
          </w:p>
        </w:tc>
        <w:tc>
          <w:tcPr>
            <w:tcW w:w="4651" w:type="dxa"/>
            <w:vAlign w:val="center"/>
          </w:tcPr>
          <w:p w14:paraId="11BC25CB" w14:textId="56CFE2C5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</w:t>
            </w:r>
            <w:r w:rsidR="00611DA9" w:rsidRPr="00545DC7">
              <w:rPr>
                <w:rStyle w:val="Siln"/>
                <w:sz w:val="22"/>
                <w:highlight w:val="yellow"/>
              </w:rPr>
              <w:t>● žlutě vyznačená pole doplní dodavatel</w:t>
            </w:r>
            <w:r w:rsidRPr="00545DC7">
              <w:rPr>
                <w:rStyle w:val="Siln"/>
                <w:sz w:val="22"/>
                <w:highlight w:val="yellow"/>
              </w:rPr>
              <w:t>]</w:t>
            </w:r>
          </w:p>
        </w:tc>
      </w:tr>
      <w:tr w:rsidR="004E4646" w:rsidRPr="00545DC7" w14:paraId="235E51CE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51E4AF8A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Se sídlem:</w:t>
            </w:r>
          </w:p>
        </w:tc>
        <w:tc>
          <w:tcPr>
            <w:tcW w:w="4651" w:type="dxa"/>
            <w:vAlign w:val="center"/>
          </w:tcPr>
          <w:p w14:paraId="4D2F1C52" w14:textId="0095D59B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[●]</w:t>
            </w:r>
          </w:p>
        </w:tc>
      </w:tr>
      <w:tr w:rsidR="004E4646" w:rsidRPr="00545DC7" w14:paraId="4292A7C6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74750168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Zastoupena:</w:t>
            </w:r>
          </w:p>
        </w:tc>
        <w:tc>
          <w:tcPr>
            <w:tcW w:w="4651" w:type="dxa"/>
            <w:vAlign w:val="center"/>
          </w:tcPr>
          <w:p w14:paraId="47C3EE1D" w14:textId="087383C5" w:rsidR="004E4646" w:rsidRPr="00545DC7" w:rsidRDefault="004E4646" w:rsidP="00C70C99">
            <w:pPr>
              <w:rPr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[●]</w:t>
            </w:r>
          </w:p>
        </w:tc>
      </w:tr>
      <w:tr w:rsidR="004E4646" w:rsidRPr="00545DC7" w14:paraId="635303DA" w14:textId="77777777" w:rsidTr="004E4646">
        <w:trPr>
          <w:trHeight w:val="375"/>
        </w:trPr>
        <w:tc>
          <w:tcPr>
            <w:tcW w:w="4536" w:type="dxa"/>
            <w:vAlign w:val="center"/>
          </w:tcPr>
          <w:p w14:paraId="0F3B3D96" w14:textId="77777777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651" w:type="dxa"/>
            <w:vAlign w:val="center"/>
          </w:tcPr>
          <w:p w14:paraId="6EB6511F" w14:textId="03EC5F83" w:rsidR="004E4646" w:rsidRPr="00545DC7" w:rsidRDefault="004E4646" w:rsidP="00C70C99">
            <w:pPr>
              <w:rPr>
                <w:b/>
                <w:sz w:val="22"/>
                <w:szCs w:val="22"/>
              </w:rPr>
            </w:pPr>
            <w:r w:rsidRPr="00545DC7">
              <w:rPr>
                <w:rStyle w:val="Siln"/>
                <w:sz w:val="22"/>
                <w:highlight w:val="yellow"/>
              </w:rPr>
              <w:t>[●]</w:t>
            </w:r>
          </w:p>
        </w:tc>
      </w:tr>
    </w:tbl>
    <w:p w14:paraId="0D7D104D" w14:textId="77777777" w:rsidR="004E4646" w:rsidRPr="00545DC7" w:rsidRDefault="004E4646" w:rsidP="000F1A72">
      <w:pPr>
        <w:jc w:val="both"/>
        <w:rPr>
          <w:rStyle w:val="Siln"/>
          <w:sz w:val="22"/>
        </w:rPr>
      </w:pPr>
    </w:p>
    <w:p w14:paraId="170A76CD" w14:textId="11E71E76" w:rsidR="000F1A72" w:rsidRPr="00545DC7" w:rsidRDefault="000F1A72" w:rsidP="000F1A72">
      <w:pPr>
        <w:jc w:val="both"/>
        <w:rPr>
          <w:rStyle w:val="Siln"/>
          <w:b w:val="0"/>
          <w:sz w:val="22"/>
        </w:rPr>
      </w:pPr>
      <w:r w:rsidRPr="00545DC7">
        <w:rPr>
          <w:rStyle w:val="Siln"/>
          <w:sz w:val="22"/>
        </w:rPr>
        <w:t>(dále je</w:t>
      </w:r>
      <w:r w:rsidR="004E4646" w:rsidRPr="00545DC7">
        <w:rPr>
          <w:rStyle w:val="Siln"/>
          <w:sz w:val="22"/>
        </w:rPr>
        <w:t>n</w:t>
      </w:r>
      <w:r w:rsidRPr="00545DC7">
        <w:rPr>
          <w:rStyle w:val="Siln"/>
          <w:sz w:val="22"/>
        </w:rPr>
        <w:t xml:space="preserve"> „Společnost“)</w:t>
      </w:r>
    </w:p>
    <w:p w14:paraId="077C4F32" w14:textId="77777777" w:rsidR="000F1A72" w:rsidRPr="00545DC7" w:rsidRDefault="000F1A72" w:rsidP="000F1A72">
      <w:pPr>
        <w:jc w:val="both"/>
        <w:rPr>
          <w:b/>
          <w:sz w:val="22"/>
        </w:rPr>
      </w:pPr>
    </w:p>
    <w:p w14:paraId="46F6F7E5" w14:textId="77777777" w:rsidR="000F1A72" w:rsidRPr="00545DC7" w:rsidRDefault="000F1A72" w:rsidP="000F1A72">
      <w:pPr>
        <w:pStyle w:val="Text"/>
        <w:spacing w:after="160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(</w:t>
      </w:r>
      <w:r w:rsidRPr="00545DC7">
        <w:rPr>
          <w:rStyle w:val="Siln"/>
          <w:rFonts w:ascii="Times New Roman" w:hAnsi="Times New Roman"/>
          <w:sz w:val="22"/>
          <w:lang w:val="cs-CZ"/>
        </w:rPr>
        <w:t xml:space="preserve">Zadavatel zakázky </w:t>
      </w:r>
      <w:r w:rsidRPr="00545DC7">
        <w:rPr>
          <w:rStyle w:val="Siln"/>
          <w:rFonts w:ascii="Times New Roman" w:hAnsi="Times New Roman"/>
          <w:b w:val="0"/>
          <w:bCs w:val="0"/>
          <w:sz w:val="22"/>
          <w:lang w:val="cs-CZ"/>
        </w:rPr>
        <w:t>a</w:t>
      </w:r>
      <w:r w:rsidRPr="00545DC7">
        <w:rPr>
          <w:rStyle w:val="Siln"/>
          <w:rFonts w:ascii="Times New Roman" w:hAnsi="Times New Roman"/>
          <w:sz w:val="22"/>
          <w:lang w:val="cs-CZ"/>
        </w:rPr>
        <w:t xml:space="preserve"> Společnost</w:t>
      </w:r>
      <w:r w:rsidRPr="00545DC7">
        <w:rPr>
          <w:rFonts w:ascii="Times New Roman" w:hAnsi="Times New Roman"/>
          <w:sz w:val="22"/>
          <w:lang w:val="cs-CZ"/>
        </w:rPr>
        <w:t xml:space="preserve"> dále jen „</w:t>
      </w:r>
      <w:r w:rsidRPr="00545DC7">
        <w:rPr>
          <w:rFonts w:ascii="Times New Roman" w:hAnsi="Times New Roman"/>
          <w:b/>
          <w:sz w:val="22"/>
          <w:lang w:val="cs-CZ"/>
        </w:rPr>
        <w:t>Strany</w:t>
      </w:r>
      <w:r w:rsidRPr="00545DC7">
        <w:rPr>
          <w:rFonts w:ascii="Times New Roman" w:hAnsi="Times New Roman"/>
          <w:sz w:val="22"/>
          <w:lang w:val="cs-CZ"/>
        </w:rPr>
        <w:t>“), uzavírají tímto tuto dohodu o zachování mlčenlivosti (dále jen „</w:t>
      </w:r>
      <w:r w:rsidRPr="00545DC7">
        <w:rPr>
          <w:rStyle w:val="Siln"/>
          <w:rFonts w:ascii="Times New Roman" w:hAnsi="Times New Roman"/>
          <w:sz w:val="22"/>
          <w:lang w:val="cs-CZ"/>
        </w:rPr>
        <w:t>Dohoda</w:t>
      </w:r>
      <w:r w:rsidRPr="00545DC7">
        <w:rPr>
          <w:rFonts w:ascii="Times New Roman" w:hAnsi="Times New Roman"/>
          <w:sz w:val="22"/>
          <w:lang w:val="cs-CZ"/>
        </w:rPr>
        <w:t>“):</w:t>
      </w:r>
    </w:p>
    <w:p w14:paraId="0B90F804" w14:textId="77777777" w:rsidR="000F1A72" w:rsidRPr="00545DC7" w:rsidRDefault="000F1A72" w:rsidP="000F1A72">
      <w:pPr>
        <w:pStyle w:val="Text"/>
        <w:spacing w:after="160"/>
        <w:jc w:val="both"/>
        <w:rPr>
          <w:rFonts w:ascii="Times New Roman" w:hAnsi="Times New Roman"/>
          <w:sz w:val="22"/>
          <w:lang w:val="cs-CZ"/>
        </w:rPr>
      </w:pPr>
    </w:p>
    <w:p w14:paraId="5387738A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PREAMBULE</w:t>
      </w:r>
    </w:p>
    <w:p w14:paraId="0E6856EB" w14:textId="5834FF15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Společnost má zájem na realizaci projektu </w:t>
      </w:r>
      <w:r w:rsidR="00AA6D44">
        <w:rPr>
          <w:rFonts w:ascii="Times New Roman" w:hAnsi="Times New Roman"/>
          <w:sz w:val="22"/>
          <w:lang w:val="cs-CZ"/>
        </w:rPr>
        <w:t>„</w:t>
      </w:r>
      <w:r w:rsidR="00AA6D44" w:rsidRPr="00AA6D44">
        <w:rPr>
          <w:rStyle w:val="Siln"/>
          <w:rFonts w:ascii="Times New Roman" w:hAnsi="Times New Roman"/>
          <w:sz w:val="22"/>
          <w:lang w:val="cs-CZ"/>
        </w:rPr>
        <w:t>Systém automatického plnění kartonů</w:t>
      </w:r>
      <w:r w:rsidR="00AA6D44">
        <w:rPr>
          <w:rStyle w:val="Siln"/>
          <w:rFonts w:ascii="Times New Roman" w:hAnsi="Times New Roman"/>
          <w:sz w:val="22"/>
          <w:lang w:val="cs-CZ"/>
        </w:rPr>
        <w:t>“</w:t>
      </w:r>
      <w:r w:rsidRPr="00545DC7">
        <w:rPr>
          <w:rFonts w:ascii="Times New Roman" w:hAnsi="Times New Roman"/>
          <w:sz w:val="22"/>
          <w:lang w:val="cs-CZ"/>
        </w:rPr>
        <w:t xml:space="preserve"> od Zadavatele zakázky na základě zakázky </w:t>
      </w:r>
      <w:r w:rsidRPr="00545DC7">
        <w:rPr>
          <w:rStyle w:val="Siln"/>
          <w:rFonts w:ascii="Times New Roman" w:hAnsi="Times New Roman"/>
          <w:b w:val="0"/>
          <w:bCs w:val="0"/>
          <w:sz w:val="22"/>
          <w:lang w:val="cs-CZ"/>
        </w:rPr>
        <w:t>zveřejněné na profilu</w:t>
      </w:r>
      <w:r w:rsidRPr="00545DC7">
        <w:rPr>
          <w:rStyle w:val="Siln"/>
          <w:rFonts w:ascii="Times New Roman" w:hAnsi="Times New Roman"/>
          <w:sz w:val="22"/>
          <w:lang w:val="cs-CZ"/>
        </w:rPr>
        <w:t xml:space="preserve"> </w:t>
      </w:r>
      <w:r w:rsidR="00970ECC" w:rsidRPr="00545DC7">
        <w:rPr>
          <w:rFonts w:ascii="Times New Roman" w:hAnsi="Times New Roman"/>
          <w:szCs w:val="20"/>
        </w:rPr>
        <w:t>www.eagri.cz/prv</w:t>
      </w:r>
      <w:r w:rsidR="00970ECC" w:rsidRPr="00545DC7">
        <w:rPr>
          <w:rFonts w:ascii="Times New Roman" w:hAnsi="Times New Roman"/>
        </w:rPr>
        <w:t xml:space="preserve"> </w:t>
      </w:r>
      <w:r w:rsidRPr="00545DC7">
        <w:rPr>
          <w:rFonts w:ascii="Times New Roman" w:hAnsi="Times New Roman"/>
          <w:sz w:val="22"/>
          <w:lang w:val="cs-CZ"/>
        </w:rPr>
        <w:t>(dále jen „</w:t>
      </w:r>
      <w:r w:rsidRPr="00545DC7">
        <w:rPr>
          <w:rFonts w:ascii="Times New Roman" w:hAnsi="Times New Roman"/>
          <w:b/>
          <w:sz w:val="22"/>
          <w:lang w:val="cs-CZ"/>
        </w:rPr>
        <w:t>Zakázka</w:t>
      </w:r>
      <w:r w:rsidRPr="00545DC7">
        <w:rPr>
          <w:rFonts w:ascii="Times New Roman" w:hAnsi="Times New Roman"/>
          <w:sz w:val="22"/>
          <w:lang w:val="cs-CZ"/>
        </w:rPr>
        <w:t>“).</w:t>
      </w:r>
    </w:p>
    <w:p w14:paraId="53DB2A6B" w14:textId="7BF8BD69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AA6D44">
        <w:rPr>
          <w:rFonts w:ascii="Times New Roman" w:hAnsi="Times New Roman"/>
          <w:sz w:val="22"/>
          <w:lang w:val="cs-CZ"/>
        </w:rPr>
        <w:t>V souvislosti s realizací Zakázky</w:t>
      </w:r>
      <w:r w:rsidRPr="00AA6D44">
        <w:rPr>
          <w:rStyle w:val="Siln"/>
          <w:rFonts w:ascii="Times New Roman" w:hAnsi="Times New Roman"/>
          <w:sz w:val="22"/>
          <w:lang w:val="cs-CZ"/>
        </w:rPr>
        <w:t xml:space="preserve"> </w:t>
      </w:r>
      <w:r w:rsidRPr="00AA6D44">
        <w:rPr>
          <w:rFonts w:ascii="Times New Roman" w:hAnsi="Times New Roman"/>
          <w:sz w:val="22"/>
          <w:lang w:val="cs-CZ"/>
        </w:rPr>
        <w:t xml:space="preserve">je nezbytné, aby Společnost obdržela přístup k vybraným </w:t>
      </w:r>
      <w:r w:rsidR="00886D76" w:rsidRPr="00AA6D44">
        <w:rPr>
          <w:rFonts w:ascii="Times New Roman" w:hAnsi="Times New Roman"/>
          <w:sz w:val="22"/>
          <w:lang w:val="cs-CZ"/>
        </w:rPr>
        <w:t xml:space="preserve">podkladům </w:t>
      </w:r>
      <w:r w:rsidRPr="00AA6D44">
        <w:rPr>
          <w:rFonts w:ascii="Times New Roman" w:hAnsi="Times New Roman"/>
          <w:sz w:val="22"/>
          <w:lang w:val="cs-CZ"/>
        </w:rPr>
        <w:t xml:space="preserve">v podobě stávajícího rozmístění strojů a </w:t>
      </w:r>
      <w:r w:rsidR="00886D76" w:rsidRPr="00AA6D44">
        <w:rPr>
          <w:rFonts w:ascii="Times New Roman" w:hAnsi="Times New Roman"/>
          <w:sz w:val="22"/>
          <w:lang w:val="cs-CZ"/>
        </w:rPr>
        <w:t xml:space="preserve">jiných důvěrných technických informací a podmínek pro </w:t>
      </w:r>
      <w:r w:rsidRPr="00AA6D44">
        <w:rPr>
          <w:rFonts w:ascii="Times New Roman" w:hAnsi="Times New Roman"/>
          <w:sz w:val="22"/>
          <w:lang w:val="cs-CZ"/>
        </w:rPr>
        <w:t>jejich vzájemné propojení</w:t>
      </w:r>
      <w:r w:rsidR="00886D76" w:rsidRPr="00AA6D44">
        <w:rPr>
          <w:rFonts w:ascii="Times New Roman" w:hAnsi="Times New Roman"/>
          <w:sz w:val="22"/>
          <w:lang w:val="cs-CZ"/>
        </w:rPr>
        <w:t xml:space="preserve"> a kompatibilitu</w:t>
      </w:r>
      <w:r w:rsidRPr="00AA6D44">
        <w:rPr>
          <w:rFonts w:ascii="Times New Roman" w:hAnsi="Times New Roman"/>
          <w:sz w:val="22"/>
          <w:lang w:val="cs-CZ"/>
        </w:rPr>
        <w:t xml:space="preserve"> v</w:t>
      </w:r>
      <w:r w:rsidR="00886D76" w:rsidRPr="00AA6D44">
        <w:rPr>
          <w:rFonts w:ascii="Times New Roman" w:hAnsi="Times New Roman"/>
          <w:sz w:val="22"/>
          <w:lang w:val="cs-CZ"/>
        </w:rPr>
        <w:t xml:space="preserve"> sídle </w:t>
      </w:r>
      <w:r w:rsidRPr="00AA6D44">
        <w:rPr>
          <w:rFonts w:ascii="Times New Roman" w:hAnsi="Times New Roman"/>
          <w:sz w:val="22"/>
          <w:lang w:val="cs-CZ"/>
        </w:rPr>
        <w:t>Zadavatele zakázky, které jsou předmětem přílohy</w:t>
      </w:r>
      <w:r w:rsidRPr="00545DC7">
        <w:rPr>
          <w:rFonts w:ascii="Times New Roman" w:hAnsi="Times New Roman"/>
          <w:sz w:val="22"/>
          <w:lang w:val="cs-CZ"/>
        </w:rPr>
        <w:t xml:space="preserve"> č. 1 zadávací dokumentace k Zakázce.</w:t>
      </w:r>
    </w:p>
    <w:p w14:paraId="19F73BCA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Za účelem ochrany důvěrných informací poskytnutých v souvislosti s realizací Zakázky mezi Zadavatelem zakázky a Společností, se Strany rozhodly uzavřít tuto Dohodu.</w:t>
      </w:r>
    </w:p>
    <w:p w14:paraId="3CBD83F5" w14:textId="77777777" w:rsidR="000F1A72" w:rsidRPr="00545DC7" w:rsidRDefault="000F1A72" w:rsidP="000F1A72">
      <w:pPr>
        <w:pStyle w:val="Odsttext"/>
        <w:numPr>
          <w:ilvl w:val="0"/>
          <w:numId w:val="0"/>
        </w:numPr>
        <w:ind w:left="703"/>
        <w:jc w:val="both"/>
        <w:rPr>
          <w:rFonts w:ascii="Times New Roman" w:hAnsi="Times New Roman"/>
          <w:sz w:val="22"/>
          <w:lang w:val="cs-CZ"/>
        </w:rPr>
      </w:pPr>
    </w:p>
    <w:p w14:paraId="4D7C2419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Předmět Dohody</w:t>
      </w:r>
    </w:p>
    <w:p w14:paraId="2E81A19C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Předmětem této Dohody je závazek Společnosti dodržovat závazek mlčenlivosti dle podmínek této Dohody a zabezpečit ochranu důvěrných informací, které Zadavatel zakázky poskytne Společnosti, a které jsou definovány níže v článku 3 této Dohody.</w:t>
      </w:r>
    </w:p>
    <w:p w14:paraId="3E219EEF" w14:textId="77777777" w:rsidR="000F1A72" w:rsidRPr="00545DC7" w:rsidRDefault="000F1A72" w:rsidP="000F1A72">
      <w:pPr>
        <w:pStyle w:val="Odsttext"/>
        <w:numPr>
          <w:ilvl w:val="0"/>
          <w:numId w:val="0"/>
        </w:numPr>
        <w:ind w:left="703"/>
        <w:jc w:val="both"/>
        <w:rPr>
          <w:rFonts w:ascii="Times New Roman" w:hAnsi="Times New Roman"/>
          <w:sz w:val="22"/>
          <w:lang w:val="cs-CZ"/>
        </w:rPr>
      </w:pPr>
    </w:p>
    <w:p w14:paraId="2ADB18AF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Definice důvěrných informací</w:t>
      </w:r>
    </w:p>
    <w:p w14:paraId="324EAD9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Za důvěrné informace dle této Dohody se považují veškeré informace, které Zadavatel zakázky či kterýkoli zaměstnanec Zadavatele zakázky („</w:t>
      </w:r>
      <w:r w:rsidRPr="00545DC7">
        <w:rPr>
          <w:rFonts w:ascii="Times New Roman" w:hAnsi="Times New Roman"/>
          <w:b/>
          <w:sz w:val="22"/>
          <w:lang w:val="cs-CZ"/>
        </w:rPr>
        <w:t>Oprávněná osoba</w:t>
      </w:r>
      <w:r w:rsidRPr="00545DC7">
        <w:rPr>
          <w:rFonts w:ascii="Times New Roman" w:hAnsi="Times New Roman"/>
          <w:sz w:val="22"/>
          <w:lang w:val="cs-CZ"/>
        </w:rPr>
        <w:t xml:space="preserve">“) sdělí </w:t>
      </w:r>
      <w:r w:rsidRPr="00545DC7">
        <w:rPr>
          <w:rFonts w:ascii="Times New Roman" w:hAnsi="Times New Roman"/>
          <w:sz w:val="22"/>
          <w:lang w:val="cs-CZ"/>
        </w:rPr>
        <w:lastRenderedPageBreak/>
        <w:t>či jinak zpřístupní Společnosti v souvislosti s Přílohou č. 1 zadávací dokumentace k Zakázce, a to bez ohledu na to, zda Zadavatel zakázky či Oprávněná osoba tyto informace označí jako důvěrné (dále jen „</w:t>
      </w:r>
      <w:r w:rsidRPr="00545DC7">
        <w:rPr>
          <w:rFonts w:ascii="Times New Roman" w:hAnsi="Times New Roman"/>
          <w:b/>
          <w:sz w:val="22"/>
          <w:lang w:val="cs-CZ"/>
        </w:rPr>
        <w:t>Důvěrné informace</w:t>
      </w:r>
      <w:r w:rsidRPr="00545DC7">
        <w:rPr>
          <w:rFonts w:ascii="Times New Roman" w:hAnsi="Times New Roman"/>
          <w:sz w:val="22"/>
          <w:lang w:val="cs-CZ"/>
        </w:rPr>
        <w:t xml:space="preserve">“). </w:t>
      </w:r>
    </w:p>
    <w:p w14:paraId="0F6666A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Oprávněnou osobou se rozumí ve smyslu této Dohody členové orgánů, zaměstnanci, zástupci, poradci.</w:t>
      </w:r>
    </w:p>
    <w:p w14:paraId="667CE49D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Důvěrnými informacemi dle této Dohody jsou zejména informace, údaje, skutečnosti či postupy poskytnuté či zpřístupněné Společnosti v rámci přílohy č. 1 zadávací dokumentace k Zakázce</w:t>
      </w:r>
    </w:p>
    <w:p w14:paraId="605B53F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se zavazuje chránit veškeré Důvěrné informace, a to v souladu a za podmínek dle této Dohody.</w:t>
      </w:r>
    </w:p>
    <w:p w14:paraId="2AB1316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Bez ohledu na výše uvedená ustanovení se za Důvěrné informace nepovažují informace, u kterých:</w:t>
      </w:r>
    </w:p>
    <w:p w14:paraId="6AC0195F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prokáže, že jsou veřejně dostupné, aniž by tuto dostupnost způsobila sama Společnost;</w:t>
      </w:r>
    </w:p>
    <w:p w14:paraId="669A481F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prokáže, že je měla k dispozici ještě před datem zpřístupnění od Zadavatele zakázky, a že je nenabyla v rozporu s právními předpisy či touto Dohodou;</w:t>
      </w:r>
    </w:p>
    <w:p w14:paraId="47CDBBB5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prokáže, že je v souladu s právními předpisy obdržela od třetí strany bez toho, že by jí byla uložena povinnost zachovávat mlčenlivost;</w:t>
      </w:r>
    </w:p>
    <w:p w14:paraId="3AA6DE8E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obdržela od Zadavatele zakázky předchozí písemný souhlas ke zpřístupnění.</w:t>
      </w:r>
    </w:p>
    <w:p w14:paraId="2EB4B239" w14:textId="77777777" w:rsidR="000F1A72" w:rsidRPr="00545DC7" w:rsidRDefault="000F1A72" w:rsidP="000F1A72">
      <w:pPr>
        <w:pStyle w:val="Odstpsmeno"/>
        <w:numPr>
          <w:ilvl w:val="0"/>
          <w:numId w:val="0"/>
        </w:numPr>
        <w:ind w:left="1406"/>
        <w:jc w:val="both"/>
        <w:rPr>
          <w:rFonts w:ascii="Times New Roman" w:hAnsi="Times New Roman"/>
          <w:sz w:val="22"/>
          <w:lang w:val="cs-CZ"/>
        </w:rPr>
      </w:pPr>
    </w:p>
    <w:p w14:paraId="6525F6DE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Povinnost mlčenlivosti</w:t>
      </w:r>
    </w:p>
    <w:p w14:paraId="7C7C8B65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Veškeré Důvěrné informace zůstávají výhradním vlastnictvím Zadavatele zakázky a Společnost vyvine pro zachování jejich důvěrnosti a pro jejich ochranu stejné úsilí, jako by se jednalo o její vlastní důvěrné informace.</w:t>
      </w:r>
    </w:p>
    <w:p w14:paraId="50FC9F5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se zavazuje, že:</w:t>
      </w:r>
    </w:p>
    <w:p w14:paraId="0679E457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 výjimkou případů výslovně stanovených touto Dohodou bude zachovávat mlčenlivost ve vztahu ke všem Důvěrným informacím;</w:t>
      </w:r>
    </w:p>
    <w:p w14:paraId="0D398A44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 výjimkou případů výslovně stanovených touto Dohodou bez předchozího písemného souhlasu Společnost nesdělí, nevyzradí ani jinak nezpřístupní Důvěrné informace žádné osobě; porušením této povinnosti není zpřístupnění Důvěrných informací zaměstnancům Společnosti pro účely realizace Zakázky; </w:t>
      </w:r>
    </w:p>
    <w:p w14:paraId="737A1011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veškeré Důvěrné informace bude považovat za důvěrné a zajistí jejich ochranu, včetně zajištění takových technických a organizačních prostředků k ochraně Důvěrných informací, aby byla zajištěna jejich ochrana proti nepovolenému nebo neoprávněnému použití či přenosům;</w:t>
      </w:r>
    </w:p>
    <w:p w14:paraId="2CC75350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poučí své zaměstnance, kterým byly Důvěrné informace zpřístupněny, jakož i osoby, kterým byly Důvěrné informace zpřístupněny se souhlasem Zadavatele zakázky o závazcích Společnosti vyplývajících z této Dohody, a zavazuje se, že tyto osoby zachovají povinnost důvěrnosti ve vztahu k Důvěrným informacím v souladu s ustanoveními této Dohody;</w:t>
      </w:r>
    </w:p>
    <w:p w14:paraId="75D3F6B5" w14:textId="77777777" w:rsidR="000F1A72" w:rsidRPr="00545DC7" w:rsidRDefault="000F1A72" w:rsidP="000F1A72">
      <w:pPr>
        <w:pStyle w:val="Odstpsmeno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nebude pořizovat kopie Důvěrných informací pro jiný účel, než je spolupráce na přípravě a plnění Zakázky, nepředá je třetí straně ani svým vlastním zaměstnancům a zástupcům s výjimkou těch, kteří s nimi potřebují být seznámeni, aby mohli splnit podmínky realizace Zakázky, a to jen v rozsahu nezbytně nutném. Po dokončení Zakázky se Společnost zavazuje k předání veškerých datových nosičů, dokumentů, či obdobných podkladů s Důvěrnými informacemi zpět Zadavateli zakázky v případě, že o to Zadavatel zakázky požádá.</w:t>
      </w:r>
    </w:p>
    <w:p w14:paraId="5FAC650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Společnost je povinna použít Důvěrné informace pouze za účelem realizace Zakázky. </w:t>
      </w:r>
    </w:p>
    <w:p w14:paraId="73ABBCE3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lastRenderedPageBreak/>
        <w:t>Společnost je oprávněna předat Důvěrné informace třetím osobám, které nejsou ze zákona vázány povinností mlčenlivosti, pouze s předchozím písemným souhlasem Zadavatele zakázky. Oprávnění Společnosti předat Důvěrné informace třetím osobám, které nejsou ze zákona vázány povinností mlčenlivosti pouze s předchozím písemným souhlasem Zadavatele zakázky, se vztahuje mj. i na případné subdodavatele Společnosti, kteří se Společností na realizaci Zakázky spolupracují.</w:t>
      </w:r>
    </w:p>
    <w:p w14:paraId="1E7A5564" w14:textId="77777777" w:rsidR="000F1A72" w:rsidRPr="00545DC7" w:rsidRDefault="000F1A72" w:rsidP="000F1A72">
      <w:pPr>
        <w:pStyle w:val="Odsttext"/>
        <w:keepNext/>
        <w:keepLines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Společnost se zavazuje, že se třetí osobou, která není ze zákona vázána povinností mlčenlivosti, a které bude Společnost chtít se souhlasem Zadavatele zakázky zpřístupnit Důvěrné informace, uzavře před předáním Důvěrných informací dohodu, na </w:t>
      </w:r>
      <w:proofErr w:type="gramStart"/>
      <w:r w:rsidRPr="00545DC7">
        <w:rPr>
          <w:rFonts w:ascii="Times New Roman" w:hAnsi="Times New Roman"/>
          <w:sz w:val="22"/>
          <w:lang w:val="cs-CZ"/>
        </w:rPr>
        <w:t>základě</w:t>
      </w:r>
      <w:proofErr w:type="gramEnd"/>
      <w:r w:rsidRPr="00545DC7">
        <w:rPr>
          <w:rFonts w:ascii="Times New Roman" w:hAnsi="Times New Roman"/>
          <w:sz w:val="22"/>
          <w:lang w:val="cs-CZ"/>
        </w:rPr>
        <w:t xml:space="preserve"> které bude třetí osoba povinna zajistit utajení Důvěrných informací.</w:t>
      </w:r>
    </w:p>
    <w:p w14:paraId="562A99CB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Povinnost nezpřístupnit a nevyzradit Důvěrné informace jakékoli třetí osobě neplatí v rozsahu, v jakém mají být Důvěrné informace sděleny v souladu s požadavky právních předpisů nebo na základě oprávněné žádosti soudu nebo jiného správního úřadu s odpovídající kompetencí. Vždy však platí, že pokud Společnosti nebo jiné osobě, které Společnost s písemným souhlasem Zadavatele zakázky Důvěrné informace předá, vznikne podle příslušných právních předpisů povinnost jakékoli Důvěrné informace sdělit, uvědomí o tom Společnost neprodleně Zadavatele zakázky a zajistí, že osoba, jíž budou Důvěrné informace sděleny, si bude vědoma jejich důvěrného charakteru.</w:t>
      </w:r>
    </w:p>
    <w:p w14:paraId="3B5AF0FD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se zavazuje, že zajistí, aby všechna ustanovení této Dohody byla závazná i pro právní nástupce Společnosti, zmocněnce, osoby oprávněné jednat za Společnost nebo za osoby, kterým byly Důvěrné informace zpřístupněny se souhlasem Zadavatele zakázky.</w:t>
      </w:r>
    </w:p>
    <w:p w14:paraId="2ADBF77F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si je vědoma toho, že jakékoli porušení této Dohody by mohlo Zadavateli zakázky způsobit nenapravitelnou újmu. Strany si ujednaly ve smyslu § 2894 odst. 2 zákona č. 89/2012 Sb., občanský zákoník, ve znění pozdějších předpisů (dále jen „</w:t>
      </w:r>
      <w:r w:rsidRPr="00545DC7">
        <w:rPr>
          <w:rFonts w:ascii="Times New Roman" w:hAnsi="Times New Roman"/>
          <w:b/>
          <w:sz w:val="22"/>
          <w:lang w:val="cs-CZ"/>
        </w:rPr>
        <w:t>Občanský zákoník</w:t>
      </w:r>
      <w:r w:rsidRPr="00545DC7">
        <w:rPr>
          <w:rFonts w:ascii="Times New Roman" w:hAnsi="Times New Roman"/>
          <w:sz w:val="22"/>
          <w:lang w:val="cs-CZ"/>
        </w:rPr>
        <w:t>“), že Společnost odpovídá za veškerou škodu a dále i za nemajetkovou újmu vzniklou Zadavateli zakázky v důsledku porušení (i) kterékoli povinnosti vyplývající z této Dohody, jakož i (</w:t>
      </w:r>
      <w:proofErr w:type="spellStart"/>
      <w:r w:rsidRPr="00545DC7">
        <w:rPr>
          <w:rFonts w:ascii="Times New Roman" w:hAnsi="Times New Roman"/>
          <w:sz w:val="22"/>
          <w:lang w:val="cs-CZ"/>
        </w:rPr>
        <w:t>ii</w:t>
      </w:r>
      <w:proofErr w:type="spellEnd"/>
      <w:r w:rsidRPr="00545DC7">
        <w:rPr>
          <w:rFonts w:ascii="Times New Roman" w:hAnsi="Times New Roman"/>
          <w:sz w:val="22"/>
          <w:lang w:val="cs-CZ"/>
        </w:rPr>
        <w:t>) povinnosti stanovené právními předpisy ve vztahu k ochraně Důvěrných informací Společností.</w:t>
      </w:r>
    </w:p>
    <w:p w14:paraId="53B297F4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 případě porušení povinností uvedených v této Dohodě je Společnost povinna uhradit Zadavateli zakázky náhradu škody.</w:t>
      </w:r>
    </w:p>
    <w:p w14:paraId="057C5D29" w14:textId="77777777" w:rsidR="000F1A72" w:rsidRPr="00545DC7" w:rsidRDefault="000F1A72" w:rsidP="000F1A72">
      <w:pPr>
        <w:pStyle w:val="Odsttext"/>
        <w:numPr>
          <w:ilvl w:val="0"/>
          <w:numId w:val="0"/>
        </w:numPr>
        <w:ind w:left="703"/>
        <w:jc w:val="both"/>
        <w:rPr>
          <w:rFonts w:ascii="Times New Roman" w:hAnsi="Times New Roman"/>
          <w:sz w:val="22"/>
          <w:lang w:val="cs-CZ"/>
        </w:rPr>
      </w:pPr>
    </w:p>
    <w:p w14:paraId="0F0EA87E" w14:textId="77777777" w:rsidR="000F1A72" w:rsidRPr="00545DC7" w:rsidRDefault="000F1A72" w:rsidP="000F1A72">
      <w:pPr>
        <w:pStyle w:val="Nadpislnku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Závěrečná ustanovení</w:t>
      </w:r>
    </w:p>
    <w:p w14:paraId="40629EE6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Tato Dohoda a právní vztahy z ní vyplývající se řídí právním řádem České republiky, zejména Občanským zákoníkem, a v souladu s ním bude také vykládána.</w:t>
      </w:r>
    </w:p>
    <w:p w14:paraId="2276AF14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Veškeré spory mezi Stranami vyplývající nebo související s ustanoveními této Dohody budou řešeny nejprve smírně, a sice nejpozději do jednoho (1) měsíce od iniciace řešení sporu. Pokud Strany nevyřeší jakýkoli spor smírnou cestou, bude spor řešen soudem příslušným dle sídla Zadavatele zakázky.</w:t>
      </w:r>
    </w:p>
    <w:p w14:paraId="3E275DB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Tato Dohoda se uzavírá na dobu neurčitou.</w:t>
      </w:r>
    </w:p>
    <w:p w14:paraId="0743325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Stane-li se některé ustanovení této Dohody neplatným či neúčinným, nedotýká se to ostatních ustanovení této Dohody, která zůstávají platná a účinná. Strany se v tomto případě zavazují dohodou nahradit ustanovení neplatné či neúčinné novým ustanovením platným a účinným, které původně odpovídá zamýšlenému účelu ustanovení neplatného, popř. neúčinného. </w:t>
      </w:r>
    </w:p>
    <w:p w14:paraId="37EDF211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Pro tuto Dohodu a uzavření dodatku k ní se nepoužije ustanovení § 1740 odst. 3 Občanského zákoníku.</w:t>
      </w:r>
    </w:p>
    <w:p w14:paraId="3E6C4932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Společnost není oprávněna postoupit, převést, ani zastavit tuto Dohodu ani jakákoli práva, povinnosti, dluhy, pohledávky nebo nároky vyplývající z této Dohody bez předchozího písemného souhlasu Zadavatele zakázky.</w:t>
      </w:r>
    </w:p>
    <w:p w14:paraId="5B40E6E4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lastRenderedPageBreak/>
        <w:t>Strany prohlašují, že podmínky této Dohody byly předmětem jejich vzájemných jednání ústupků, strany plně rozumí obsahu a podmínkám Dohody a mají zájem být jimi vázány. Strany tímto vylučují použití § 1799 a 1800 Občanského zákoníku.</w:t>
      </w:r>
    </w:p>
    <w:p w14:paraId="63E6AFF6" w14:textId="77777777" w:rsidR="000F1A72" w:rsidRPr="00545DC7" w:rsidRDefault="000F1A72" w:rsidP="000F1A72">
      <w:pPr>
        <w:pStyle w:val="Odsttext"/>
        <w:keepNext/>
        <w:keepLines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Strany tímto vzájemně prohlašují a stvrzují si svými podpisy, že si Dohodu řádně zvážily, její celý text přečetly a pochopily a že ji uzavírají o své vůli. Rovněž tak prohlašují, že jim nejsou známé žádné skutečnosti, které by mohly tuto jimi uzavíranou </w:t>
      </w:r>
      <w:proofErr w:type="gramStart"/>
      <w:r w:rsidRPr="00545DC7">
        <w:rPr>
          <w:rFonts w:ascii="Times New Roman" w:hAnsi="Times New Roman"/>
          <w:sz w:val="22"/>
          <w:lang w:val="cs-CZ"/>
        </w:rPr>
        <w:t>Dohodu</w:t>
      </w:r>
      <w:proofErr w:type="gramEnd"/>
      <w:r w:rsidRPr="00545DC7">
        <w:rPr>
          <w:rFonts w:ascii="Times New Roman" w:hAnsi="Times New Roman"/>
          <w:sz w:val="22"/>
          <w:lang w:val="cs-CZ"/>
        </w:rPr>
        <w:t xml:space="preserve"> jakkoliv zneplatnit, učinit neúčinnou a zmařit její účel tak, jak jej na počátku Dohody vážně deklarovaly.</w:t>
      </w:r>
    </w:p>
    <w:p w14:paraId="23F9693B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Tuto Dohodu je možné měnit pouze písemnou dohodou Stran ve formě číslovaných dodatků. </w:t>
      </w:r>
    </w:p>
    <w:p w14:paraId="3246AF63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 xml:space="preserve">Tato Dohoda je uzavřena ve dvou (2) vyhotoveních, z nichž každá Strana obdrží po jednom (1) vyhotovení. </w:t>
      </w:r>
    </w:p>
    <w:p w14:paraId="5CC33038" w14:textId="77777777" w:rsidR="000F1A72" w:rsidRPr="00545DC7" w:rsidRDefault="000F1A72" w:rsidP="000F1A72">
      <w:pPr>
        <w:pStyle w:val="Odsttext"/>
        <w:jc w:val="both"/>
        <w:rPr>
          <w:rFonts w:ascii="Times New Roman" w:hAnsi="Times New Roman"/>
          <w:sz w:val="22"/>
          <w:lang w:val="cs-CZ"/>
        </w:rPr>
      </w:pPr>
      <w:r w:rsidRPr="00545DC7">
        <w:rPr>
          <w:rFonts w:ascii="Times New Roman" w:hAnsi="Times New Roman"/>
          <w:sz w:val="22"/>
          <w:lang w:val="cs-CZ"/>
        </w:rPr>
        <w:t>Tato Dohoda nabývá platnosti a účinnosti dnem jejího podpisu oběma Stranami.</w:t>
      </w:r>
    </w:p>
    <w:p w14:paraId="471DCA95" w14:textId="49A7A62C" w:rsidR="000F1A72" w:rsidRPr="00545DC7" w:rsidRDefault="000F1A72" w:rsidP="000F1A72">
      <w:pPr>
        <w:jc w:val="both"/>
        <w:rPr>
          <w:sz w:val="22"/>
          <w:szCs w:val="22"/>
        </w:rPr>
      </w:pPr>
    </w:p>
    <w:p w14:paraId="3F9EBB54" w14:textId="47855B15" w:rsidR="0080653C" w:rsidRPr="00545DC7" w:rsidRDefault="0080653C" w:rsidP="000F1A72">
      <w:pPr>
        <w:jc w:val="both"/>
        <w:rPr>
          <w:sz w:val="22"/>
          <w:szCs w:val="22"/>
        </w:rPr>
      </w:pPr>
    </w:p>
    <w:p w14:paraId="54A4D0F5" w14:textId="5AC75C2A" w:rsidR="0080653C" w:rsidRPr="00545DC7" w:rsidRDefault="0080653C" w:rsidP="0080653C">
      <w:pPr>
        <w:rPr>
          <w:sz w:val="22"/>
          <w:szCs w:val="22"/>
        </w:rPr>
      </w:pPr>
      <w:r w:rsidRPr="00545DC7">
        <w:rPr>
          <w:sz w:val="22"/>
          <w:szCs w:val="22"/>
        </w:rPr>
        <w:t xml:space="preserve">Ve Strážnici dne </w:t>
      </w:r>
      <w:r w:rsidR="00CA2712" w:rsidRPr="00545DC7">
        <w:rPr>
          <w:sz w:val="22"/>
          <w:szCs w:val="22"/>
        </w:rPr>
        <w:t>……………………</w:t>
      </w:r>
    </w:p>
    <w:p w14:paraId="51F12A95" w14:textId="77777777" w:rsidR="0080653C" w:rsidRPr="00545DC7" w:rsidRDefault="0080653C" w:rsidP="0080653C">
      <w:pPr>
        <w:jc w:val="right"/>
        <w:rPr>
          <w:sz w:val="22"/>
          <w:szCs w:val="22"/>
        </w:rPr>
      </w:pPr>
    </w:p>
    <w:p w14:paraId="6A509440" w14:textId="77777777" w:rsidR="0080653C" w:rsidRPr="00545DC7" w:rsidRDefault="0080653C" w:rsidP="006E2316">
      <w:pPr>
        <w:rPr>
          <w:sz w:val="22"/>
          <w:szCs w:val="22"/>
        </w:rPr>
      </w:pPr>
    </w:p>
    <w:p w14:paraId="30545A2E" w14:textId="77777777" w:rsidR="0080653C" w:rsidRPr="00545DC7" w:rsidRDefault="0080653C" w:rsidP="0080653C">
      <w:pPr>
        <w:jc w:val="right"/>
        <w:rPr>
          <w:sz w:val="22"/>
          <w:szCs w:val="22"/>
        </w:rPr>
      </w:pPr>
    </w:p>
    <w:p w14:paraId="2F146503" w14:textId="5A644C33" w:rsidR="0080653C" w:rsidRPr="00545DC7" w:rsidRDefault="0080653C" w:rsidP="0080653C">
      <w:pPr>
        <w:pStyle w:val="Default"/>
        <w:ind w:left="360"/>
        <w:jc w:val="both"/>
        <w:rPr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="006E2316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>……………</w:t>
      </w:r>
      <w:r w:rsidR="00CA2712" w:rsidRPr="00545DC7">
        <w:rPr>
          <w:color w:val="auto"/>
          <w:sz w:val="22"/>
          <w:szCs w:val="22"/>
        </w:rPr>
        <w:t>………………..</w:t>
      </w:r>
      <w:r w:rsidRPr="00545DC7">
        <w:rPr>
          <w:color w:val="auto"/>
          <w:sz w:val="22"/>
          <w:szCs w:val="22"/>
        </w:rPr>
        <w:t xml:space="preserve">…  </w:t>
      </w:r>
      <w:r w:rsidRPr="00545DC7">
        <w:rPr>
          <w:color w:val="auto"/>
          <w:sz w:val="22"/>
          <w:szCs w:val="22"/>
        </w:rPr>
        <w:tab/>
      </w:r>
      <w:r w:rsidR="00CA2712" w:rsidRPr="00545DC7">
        <w:rPr>
          <w:color w:val="auto"/>
          <w:sz w:val="22"/>
          <w:szCs w:val="22"/>
        </w:rPr>
        <w:t>…………….</w:t>
      </w:r>
      <w:r w:rsidRPr="00545DC7">
        <w:rPr>
          <w:color w:val="auto"/>
          <w:sz w:val="22"/>
          <w:szCs w:val="22"/>
        </w:rPr>
        <w:t>.…………………</w:t>
      </w:r>
    </w:p>
    <w:p w14:paraId="3C73F6D0" w14:textId="60BE3E26" w:rsidR="0080653C" w:rsidRPr="00545DC7" w:rsidRDefault="0080653C" w:rsidP="0080653C">
      <w:pPr>
        <w:pStyle w:val="Default"/>
        <w:ind w:left="360"/>
        <w:jc w:val="both"/>
        <w:rPr>
          <w:b/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b/>
          <w:color w:val="auto"/>
          <w:sz w:val="22"/>
          <w:szCs w:val="22"/>
        </w:rPr>
        <w:t>Petr Hobža Snack a.s.</w:t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b/>
          <w:color w:val="auto"/>
          <w:sz w:val="22"/>
          <w:szCs w:val="22"/>
        </w:rPr>
        <w:t>Petr Hobža Snack a.s.</w:t>
      </w:r>
    </w:p>
    <w:p w14:paraId="47D0516B" w14:textId="77777777" w:rsidR="0080653C" w:rsidRPr="00545DC7" w:rsidRDefault="0080653C" w:rsidP="0080653C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>MSc. Petr Hobža ml.,</w:t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  <w:t>Ing. Libor Hobža, BA</w:t>
      </w:r>
    </w:p>
    <w:p w14:paraId="1DD05721" w14:textId="77777777" w:rsidR="0080653C" w:rsidRPr="00545DC7" w:rsidRDefault="0080653C" w:rsidP="0080653C">
      <w:pPr>
        <w:pStyle w:val="Default"/>
        <w:ind w:left="1416" w:firstLine="708"/>
        <w:jc w:val="both"/>
        <w:rPr>
          <w:color w:val="auto"/>
          <w:sz w:val="22"/>
          <w:szCs w:val="22"/>
        </w:rPr>
      </w:pPr>
      <w:r w:rsidRPr="00545DC7">
        <w:rPr>
          <w:color w:val="auto"/>
          <w:sz w:val="22"/>
          <w:szCs w:val="22"/>
        </w:rPr>
        <w:t>Předseda představenstva</w:t>
      </w:r>
      <w:r w:rsidRPr="00545DC7">
        <w:rPr>
          <w:color w:val="auto"/>
          <w:sz w:val="22"/>
          <w:szCs w:val="22"/>
        </w:rPr>
        <w:tab/>
      </w:r>
      <w:r w:rsidRPr="00545DC7">
        <w:rPr>
          <w:color w:val="auto"/>
          <w:sz w:val="22"/>
          <w:szCs w:val="22"/>
        </w:rPr>
        <w:tab/>
        <w:t>Místopředseda představenstva</w:t>
      </w:r>
    </w:p>
    <w:p w14:paraId="62041F1A" w14:textId="532A068E" w:rsidR="0080653C" w:rsidRPr="00545DC7" w:rsidRDefault="0080653C" w:rsidP="000F1A72">
      <w:pPr>
        <w:jc w:val="both"/>
        <w:rPr>
          <w:sz w:val="22"/>
          <w:szCs w:val="22"/>
        </w:rPr>
      </w:pPr>
    </w:p>
    <w:p w14:paraId="0E4A54D3" w14:textId="77777777" w:rsidR="0080653C" w:rsidRPr="00545DC7" w:rsidRDefault="0080653C" w:rsidP="000F1A72">
      <w:pPr>
        <w:jc w:val="both"/>
        <w:rPr>
          <w:sz w:val="22"/>
        </w:rPr>
      </w:pPr>
    </w:p>
    <w:p w14:paraId="5CF181BB" w14:textId="77777777" w:rsidR="000F1A72" w:rsidRPr="00545DC7" w:rsidRDefault="000F1A72" w:rsidP="000F1A72">
      <w:pPr>
        <w:jc w:val="both"/>
        <w:rPr>
          <w:sz w:val="22"/>
        </w:rPr>
      </w:pPr>
      <w:r w:rsidRPr="00545DC7">
        <w:rPr>
          <w:sz w:val="22"/>
        </w:rPr>
        <w:t>V </w:t>
      </w:r>
      <w:r w:rsidRPr="00545DC7">
        <w:rPr>
          <w:rFonts w:eastAsia="Calibri"/>
          <w:bCs/>
          <w:sz w:val="22"/>
          <w:highlight w:val="yellow"/>
        </w:rPr>
        <w:t>[●]</w:t>
      </w:r>
      <w:r w:rsidRPr="00545DC7">
        <w:rPr>
          <w:rFonts w:eastAsia="Calibri"/>
          <w:bCs/>
          <w:sz w:val="22"/>
        </w:rPr>
        <w:t xml:space="preserve"> </w:t>
      </w:r>
      <w:r w:rsidRPr="00545DC7">
        <w:rPr>
          <w:sz w:val="22"/>
        </w:rPr>
        <w:t xml:space="preserve">dne </w:t>
      </w:r>
      <w:r w:rsidRPr="00545DC7">
        <w:rPr>
          <w:rFonts w:eastAsia="Calibri"/>
          <w:bCs/>
          <w:sz w:val="22"/>
          <w:highlight w:val="yellow"/>
        </w:rPr>
        <w:t>[●]</w:t>
      </w:r>
    </w:p>
    <w:p w14:paraId="380AC757" w14:textId="77777777" w:rsidR="000F1A72" w:rsidRPr="00545DC7" w:rsidRDefault="000F1A72" w:rsidP="000F1A72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146B" w:rsidRPr="00545DC7" w14:paraId="0217C810" w14:textId="77777777" w:rsidTr="001B146B">
        <w:tc>
          <w:tcPr>
            <w:tcW w:w="4606" w:type="dxa"/>
            <w:shd w:val="clear" w:color="auto" w:fill="auto"/>
          </w:tcPr>
          <w:p w14:paraId="108E175F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14:paraId="362344EB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B146B" w:rsidRPr="00545DC7" w14:paraId="7CA11E23" w14:textId="77777777" w:rsidTr="001B146B">
        <w:tc>
          <w:tcPr>
            <w:tcW w:w="4606" w:type="dxa"/>
            <w:shd w:val="clear" w:color="auto" w:fill="auto"/>
          </w:tcPr>
          <w:p w14:paraId="16D4FA1F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38C445E" w14:textId="59779CA0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>…………………………………………</w:t>
            </w:r>
          </w:p>
          <w:p w14:paraId="37277A1A" w14:textId="77777777" w:rsidR="000F1A72" w:rsidRPr="00545DC7" w:rsidRDefault="000F1A72" w:rsidP="001B146B">
            <w:pPr>
              <w:spacing w:after="200" w:line="27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00841AE1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Jméno: </w:t>
            </w: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6707DEA3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Funkce: </w:t>
            </w: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</w:tc>
        <w:tc>
          <w:tcPr>
            <w:tcW w:w="4606" w:type="dxa"/>
            <w:shd w:val="clear" w:color="auto" w:fill="auto"/>
          </w:tcPr>
          <w:p w14:paraId="5795BF71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6DE45BE" w14:textId="4B42B6AB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38264EE2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30AD0B2B" w14:textId="77777777" w:rsidR="000F1A72" w:rsidRPr="00545DC7" w:rsidRDefault="000F1A72" w:rsidP="001B146B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Jméno: </w:t>
            </w:r>
            <w:r w:rsidRPr="00545DC7">
              <w:rPr>
                <w:sz w:val="22"/>
                <w:szCs w:val="22"/>
                <w:highlight w:val="yellow"/>
                <w:lang w:eastAsia="en-US"/>
              </w:rPr>
              <w:t>[●]</w:t>
            </w:r>
          </w:p>
          <w:p w14:paraId="79924D01" w14:textId="77777777" w:rsidR="000F1A72" w:rsidRPr="00545DC7" w:rsidRDefault="000F1A72" w:rsidP="001B146B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545DC7">
              <w:rPr>
                <w:sz w:val="22"/>
                <w:szCs w:val="22"/>
                <w:lang w:eastAsia="en-US"/>
              </w:rPr>
              <w:t xml:space="preserve">Funkce: </w:t>
            </w:r>
            <w:r w:rsidRPr="00545DC7">
              <w:rPr>
                <w:rFonts w:eastAsia="Calibri"/>
                <w:bCs/>
                <w:sz w:val="22"/>
                <w:szCs w:val="22"/>
                <w:highlight w:val="yellow"/>
                <w:lang w:eastAsia="en-US"/>
              </w:rPr>
              <w:t>[●]</w:t>
            </w:r>
          </w:p>
        </w:tc>
      </w:tr>
    </w:tbl>
    <w:p w14:paraId="579986DF" w14:textId="77777777" w:rsidR="000F1A72" w:rsidRPr="00545DC7" w:rsidRDefault="000F1A72" w:rsidP="000F1A72">
      <w:pPr>
        <w:spacing w:after="200" w:line="276" w:lineRule="auto"/>
        <w:jc w:val="both"/>
        <w:rPr>
          <w:b/>
          <w:u w:val="single"/>
        </w:rPr>
      </w:pPr>
    </w:p>
    <w:sectPr w:rsidR="000F1A72" w:rsidRPr="00545DC7" w:rsidSect="0082628E">
      <w:headerReference w:type="default" r:id="rId7"/>
      <w:pgSz w:w="11906" w:h="16838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8E97" w14:textId="77777777" w:rsidR="00D4708F" w:rsidRDefault="00D4708F">
      <w:r>
        <w:separator/>
      </w:r>
    </w:p>
  </w:endnote>
  <w:endnote w:type="continuationSeparator" w:id="0">
    <w:p w14:paraId="73ED4A62" w14:textId="77777777" w:rsidR="00D4708F" w:rsidRDefault="00D4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074B" w14:textId="77777777" w:rsidR="00D4708F" w:rsidRDefault="00D4708F">
      <w:r>
        <w:separator/>
      </w:r>
    </w:p>
  </w:footnote>
  <w:footnote w:type="continuationSeparator" w:id="0">
    <w:p w14:paraId="63B0458F" w14:textId="77777777" w:rsidR="00D4708F" w:rsidRDefault="00D4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020" w14:textId="77777777" w:rsidR="006B7345" w:rsidRDefault="00D4708F">
    <w:pPr>
      <w:pStyle w:val="Zhlav"/>
    </w:pPr>
    <w:r>
      <w:rPr>
        <w:noProof/>
      </w:rPr>
      <w:pict w14:anchorId="0D7D03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0.9pt;margin-top:-14.25pt;width:448.5pt;height:55.5pt;z-index:1">
          <v:imagedata r:id="rId1" o:title="E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B5B"/>
    <w:multiLevelType w:val="multilevel"/>
    <w:tmpl w:val="0C4C0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75C5"/>
    <w:multiLevelType w:val="multilevel"/>
    <w:tmpl w:val="671E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437649"/>
    <w:multiLevelType w:val="hybridMultilevel"/>
    <w:tmpl w:val="E1D0A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AE7"/>
    <w:multiLevelType w:val="multilevel"/>
    <w:tmpl w:val="2BF83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21302"/>
    <w:multiLevelType w:val="multilevel"/>
    <w:tmpl w:val="CA108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73F19"/>
    <w:multiLevelType w:val="hybridMultilevel"/>
    <w:tmpl w:val="44583D50"/>
    <w:lvl w:ilvl="0" w:tplc="AB7E71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F0923"/>
    <w:multiLevelType w:val="multilevel"/>
    <w:tmpl w:val="6F00E1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4B0DC4"/>
    <w:multiLevelType w:val="hybridMultilevel"/>
    <w:tmpl w:val="4D66D8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D2D2B"/>
    <w:multiLevelType w:val="hybridMultilevel"/>
    <w:tmpl w:val="E364FE6E"/>
    <w:lvl w:ilvl="0" w:tplc="39829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925E5"/>
    <w:multiLevelType w:val="hybridMultilevel"/>
    <w:tmpl w:val="08469E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B3B64"/>
    <w:multiLevelType w:val="multilevel"/>
    <w:tmpl w:val="4586AC02"/>
    <w:name w:val="TAVEL"/>
    <w:lvl w:ilvl="0">
      <w:start w:val="1"/>
      <w:numFmt w:val="decimal"/>
      <w:pStyle w:val="Nadpislnku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pStyle w:val="Odstpsmeno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pStyle w:val="Odstbod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56A"/>
    <w:rsid w:val="00015532"/>
    <w:rsid w:val="00027998"/>
    <w:rsid w:val="00034001"/>
    <w:rsid w:val="00043DA3"/>
    <w:rsid w:val="00046B8B"/>
    <w:rsid w:val="00047807"/>
    <w:rsid w:val="0005313D"/>
    <w:rsid w:val="00065D94"/>
    <w:rsid w:val="00066CF0"/>
    <w:rsid w:val="000715E4"/>
    <w:rsid w:val="00073CC9"/>
    <w:rsid w:val="000758AF"/>
    <w:rsid w:val="000A08A9"/>
    <w:rsid w:val="000A2BD1"/>
    <w:rsid w:val="000A5A04"/>
    <w:rsid w:val="000A734B"/>
    <w:rsid w:val="000A79FD"/>
    <w:rsid w:val="000B4D70"/>
    <w:rsid w:val="000B5CDB"/>
    <w:rsid w:val="000B756A"/>
    <w:rsid w:val="000D6002"/>
    <w:rsid w:val="000E2FEF"/>
    <w:rsid w:val="000E784D"/>
    <w:rsid w:val="000F1A72"/>
    <w:rsid w:val="00101992"/>
    <w:rsid w:val="00105E0E"/>
    <w:rsid w:val="00117A69"/>
    <w:rsid w:val="00147E0E"/>
    <w:rsid w:val="001561F7"/>
    <w:rsid w:val="001622E8"/>
    <w:rsid w:val="001623CE"/>
    <w:rsid w:val="0016697A"/>
    <w:rsid w:val="00181B9C"/>
    <w:rsid w:val="001950E1"/>
    <w:rsid w:val="00197F6E"/>
    <w:rsid w:val="001A562F"/>
    <w:rsid w:val="001B146B"/>
    <w:rsid w:val="001B1E7B"/>
    <w:rsid w:val="001B621D"/>
    <w:rsid w:val="001C057E"/>
    <w:rsid w:val="001C5424"/>
    <w:rsid w:val="001F0BD1"/>
    <w:rsid w:val="001F120A"/>
    <w:rsid w:val="001F1AD8"/>
    <w:rsid w:val="00200624"/>
    <w:rsid w:val="00206A89"/>
    <w:rsid w:val="002267F0"/>
    <w:rsid w:val="0023558F"/>
    <w:rsid w:val="00236A8F"/>
    <w:rsid w:val="002430BE"/>
    <w:rsid w:val="00255A97"/>
    <w:rsid w:val="00256790"/>
    <w:rsid w:val="002572C7"/>
    <w:rsid w:val="00267EFD"/>
    <w:rsid w:val="00270D1E"/>
    <w:rsid w:val="00280734"/>
    <w:rsid w:val="002820C8"/>
    <w:rsid w:val="002827CC"/>
    <w:rsid w:val="002B4EB6"/>
    <w:rsid w:val="002B5AB2"/>
    <w:rsid w:val="002B5C8B"/>
    <w:rsid w:val="002B6BDF"/>
    <w:rsid w:val="002B6F98"/>
    <w:rsid w:val="002C77ED"/>
    <w:rsid w:val="00305934"/>
    <w:rsid w:val="0031610B"/>
    <w:rsid w:val="003166A1"/>
    <w:rsid w:val="00324363"/>
    <w:rsid w:val="00326A69"/>
    <w:rsid w:val="00332655"/>
    <w:rsid w:val="00337357"/>
    <w:rsid w:val="00355877"/>
    <w:rsid w:val="003565B7"/>
    <w:rsid w:val="00363239"/>
    <w:rsid w:val="003715AD"/>
    <w:rsid w:val="003808EC"/>
    <w:rsid w:val="00381CC8"/>
    <w:rsid w:val="00383EA5"/>
    <w:rsid w:val="00393659"/>
    <w:rsid w:val="00393749"/>
    <w:rsid w:val="003A20D2"/>
    <w:rsid w:val="003A7D94"/>
    <w:rsid w:val="003B1B7D"/>
    <w:rsid w:val="003C63A3"/>
    <w:rsid w:val="003D0023"/>
    <w:rsid w:val="003D071F"/>
    <w:rsid w:val="003F6C2C"/>
    <w:rsid w:val="003F6FB3"/>
    <w:rsid w:val="00401095"/>
    <w:rsid w:val="00423D6B"/>
    <w:rsid w:val="00427791"/>
    <w:rsid w:val="0044277C"/>
    <w:rsid w:val="004466B0"/>
    <w:rsid w:val="004563BE"/>
    <w:rsid w:val="00473CA8"/>
    <w:rsid w:val="00484B43"/>
    <w:rsid w:val="004C23DE"/>
    <w:rsid w:val="004C3F9C"/>
    <w:rsid w:val="004C48FA"/>
    <w:rsid w:val="004D2F2C"/>
    <w:rsid w:val="004E17C1"/>
    <w:rsid w:val="004E2815"/>
    <w:rsid w:val="004E3CF1"/>
    <w:rsid w:val="004E4646"/>
    <w:rsid w:val="004F1505"/>
    <w:rsid w:val="004F46BD"/>
    <w:rsid w:val="004F7EAF"/>
    <w:rsid w:val="0050230A"/>
    <w:rsid w:val="00503509"/>
    <w:rsid w:val="00515DAF"/>
    <w:rsid w:val="00523835"/>
    <w:rsid w:val="00523976"/>
    <w:rsid w:val="005379CB"/>
    <w:rsid w:val="00545DC7"/>
    <w:rsid w:val="005502CB"/>
    <w:rsid w:val="0055204F"/>
    <w:rsid w:val="0056295D"/>
    <w:rsid w:val="00566D30"/>
    <w:rsid w:val="00586FCE"/>
    <w:rsid w:val="00587FC9"/>
    <w:rsid w:val="005911A7"/>
    <w:rsid w:val="005924EE"/>
    <w:rsid w:val="005A02B0"/>
    <w:rsid w:val="005A1E81"/>
    <w:rsid w:val="005A4C86"/>
    <w:rsid w:val="005B761B"/>
    <w:rsid w:val="005C0D7D"/>
    <w:rsid w:val="005C231A"/>
    <w:rsid w:val="005E019D"/>
    <w:rsid w:val="005E1211"/>
    <w:rsid w:val="005E29AE"/>
    <w:rsid w:val="0060330B"/>
    <w:rsid w:val="00610875"/>
    <w:rsid w:val="00611D1A"/>
    <w:rsid w:val="00611DA9"/>
    <w:rsid w:val="00612157"/>
    <w:rsid w:val="00622F92"/>
    <w:rsid w:val="00627E0B"/>
    <w:rsid w:val="00633BD8"/>
    <w:rsid w:val="0064080C"/>
    <w:rsid w:val="00643CF5"/>
    <w:rsid w:val="00646802"/>
    <w:rsid w:val="00650A42"/>
    <w:rsid w:val="006517BC"/>
    <w:rsid w:val="00653B3F"/>
    <w:rsid w:val="0066229B"/>
    <w:rsid w:val="0066774A"/>
    <w:rsid w:val="00672BA1"/>
    <w:rsid w:val="0067561E"/>
    <w:rsid w:val="0067655F"/>
    <w:rsid w:val="00684520"/>
    <w:rsid w:val="006871BC"/>
    <w:rsid w:val="0068786F"/>
    <w:rsid w:val="00690F02"/>
    <w:rsid w:val="00693A11"/>
    <w:rsid w:val="0069713D"/>
    <w:rsid w:val="006A122A"/>
    <w:rsid w:val="006A4304"/>
    <w:rsid w:val="006A7E2D"/>
    <w:rsid w:val="006B3395"/>
    <w:rsid w:val="006B7345"/>
    <w:rsid w:val="006C2899"/>
    <w:rsid w:val="006D0B2D"/>
    <w:rsid w:val="006D103F"/>
    <w:rsid w:val="006D1E81"/>
    <w:rsid w:val="006D7D1F"/>
    <w:rsid w:val="006E2316"/>
    <w:rsid w:val="006E5961"/>
    <w:rsid w:val="006F0701"/>
    <w:rsid w:val="006F4808"/>
    <w:rsid w:val="006F4BB3"/>
    <w:rsid w:val="00704CE0"/>
    <w:rsid w:val="007056DD"/>
    <w:rsid w:val="00712620"/>
    <w:rsid w:val="007141FE"/>
    <w:rsid w:val="0073096D"/>
    <w:rsid w:val="007330E1"/>
    <w:rsid w:val="00742B24"/>
    <w:rsid w:val="0075167A"/>
    <w:rsid w:val="007530FF"/>
    <w:rsid w:val="00771DB2"/>
    <w:rsid w:val="007721A2"/>
    <w:rsid w:val="007727F7"/>
    <w:rsid w:val="00782237"/>
    <w:rsid w:val="00786D16"/>
    <w:rsid w:val="00797F63"/>
    <w:rsid w:val="007A0112"/>
    <w:rsid w:val="007A58A8"/>
    <w:rsid w:val="007B34E7"/>
    <w:rsid w:val="007B6175"/>
    <w:rsid w:val="007B6ED7"/>
    <w:rsid w:val="007C1867"/>
    <w:rsid w:val="007C1D6D"/>
    <w:rsid w:val="007C4AAC"/>
    <w:rsid w:val="007C6803"/>
    <w:rsid w:val="007D54BB"/>
    <w:rsid w:val="007D6883"/>
    <w:rsid w:val="007E3BD0"/>
    <w:rsid w:val="007E6B2E"/>
    <w:rsid w:val="007E6C57"/>
    <w:rsid w:val="007F3587"/>
    <w:rsid w:val="007F56C3"/>
    <w:rsid w:val="007F58A3"/>
    <w:rsid w:val="00803B1E"/>
    <w:rsid w:val="0080653C"/>
    <w:rsid w:val="0080674D"/>
    <w:rsid w:val="00821B68"/>
    <w:rsid w:val="00821E26"/>
    <w:rsid w:val="0082628E"/>
    <w:rsid w:val="008262D0"/>
    <w:rsid w:val="008331DD"/>
    <w:rsid w:val="0084077B"/>
    <w:rsid w:val="00840E40"/>
    <w:rsid w:val="008466D8"/>
    <w:rsid w:val="00850A52"/>
    <w:rsid w:val="00861815"/>
    <w:rsid w:val="008627AA"/>
    <w:rsid w:val="0087339E"/>
    <w:rsid w:val="008773BE"/>
    <w:rsid w:val="008776A1"/>
    <w:rsid w:val="00886D76"/>
    <w:rsid w:val="008879CA"/>
    <w:rsid w:val="008A3E55"/>
    <w:rsid w:val="008A45C5"/>
    <w:rsid w:val="008A4B46"/>
    <w:rsid w:val="008A5237"/>
    <w:rsid w:val="008B3BC3"/>
    <w:rsid w:val="008C3DB9"/>
    <w:rsid w:val="008C4423"/>
    <w:rsid w:val="008C60F7"/>
    <w:rsid w:val="008C6F25"/>
    <w:rsid w:val="008D6B75"/>
    <w:rsid w:val="008E1C2B"/>
    <w:rsid w:val="008E21A6"/>
    <w:rsid w:val="008E2925"/>
    <w:rsid w:val="008E40DA"/>
    <w:rsid w:val="008E74BF"/>
    <w:rsid w:val="008F6AD2"/>
    <w:rsid w:val="009021CD"/>
    <w:rsid w:val="00902603"/>
    <w:rsid w:val="009033AB"/>
    <w:rsid w:val="00912B66"/>
    <w:rsid w:val="009147D1"/>
    <w:rsid w:val="00917D22"/>
    <w:rsid w:val="0092062C"/>
    <w:rsid w:val="00926EE7"/>
    <w:rsid w:val="00940E9C"/>
    <w:rsid w:val="009605DF"/>
    <w:rsid w:val="00963C65"/>
    <w:rsid w:val="0096532B"/>
    <w:rsid w:val="00970ECC"/>
    <w:rsid w:val="00973F43"/>
    <w:rsid w:val="009742F6"/>
    <w:rsid w:val="00974F7E"/>
    <w:rsid w:val="009835B0"/>
    <w:rsid w:val="00992430"/>
    <w:rsid w:val="00993C1E"/>
    <w:rsid w:val="00994F3C"/>
    <w:rsid w:val="009B6189"/>
    <w:rsid w:val="009B7D7E"/>
    <w:rsid w:val="009C2042"/>
    <w:rsid w:val="009D174B"/>
    <w:rsid w:val="009E6BAF"/>
    <w:rsid w:val="009F4FBC"/>
    <w:rsid w:val="00A21580"/>
    <w:rsid w:val="00A27B18"/>
    <w:rsid w:val="00A37358"/>
    <w:rsid w:val="00A414B7"/>
    <w:rsid w:val="00A45174"/>
    <w:rsid w:val="00A563A3"/>
    <w:rsid w:val="00A611D2"/>
    <w:rsid w:val="00A70DED"/>
    <w:rsid w:val="00A71727"/>
    <w:rsid w:val="00A75984"/>
    <w:rsid w:val="00A762B9"/>
    <w:rsid w:val="00A8699A"/>
    <w:rsid w:val="00AA538A"/>
    <w:rsid w:val="00AA6D44"/>
    <w:rsid w:val="00AA7B90"/>
    <w:rsid w:val="00AA7D82"/>
    <w:rsid w:val="00AB102E"/>
    <w:rsid w:val="00AB28F1"/>
    <w:rsid w:val="00AD30C6"/>
    <w:rsid w:val="00AE6FB1"/>
    <w:rsid w:val="00AE7E50"/>
    <w:rsid w:val="00AF1AC8"/>
    <w:rsid w:val="00AF3DFA"/>
    <w:rsid w:val="00B12681"/>
    <w:rsid w:val="00B1479E"/>
    <w:rsid w:val="00B2513F"/>
    <w:rsid w:val="00B31AAC"/>
    <w:rsid w:val="00B33C62"/>
    <w:rsid w:val="00B3611A"/>
    <w:rsid w:val="00B424F0"/>
    <w:rsid w:val="00B516EC"/>
    <w:rsid w:val="00B57B43"/>
    <w:rsid w:val="00B67944"/>
    <w:rsid w:val="00B75E52"/>
    <w:rsid w:val="00B778AA"/>
    <w:rsid w:val="00B779D5"/>
    <w:rsid w:val="00B8678F"/>
    <w:rsid w:val="00B9296D"/>
    <w:rsid w:val="00B96785"/>
    <w:rsid w:val="00BA1079"/>
    <w:rsid w:val="00BA349D"/>
    <w:rsid w:val="00BC6FEC"/>
    <w:rsid w:val="00BD1A8C"/>
    <w:rsid w:val="00BD5B3C"/>
    <w:rsid w:val="00BD76CD"/>
    <w:rsid w:val="00BE4D57"/>
    <w:rsid w:val="00BF1C31"/>
    <w:rsid w:val="00BF2D30"/>
    <w:rsid w:val="00BF508B"/>
    <w:rsid w:val="00C07771"/>
    <w:rsid w:val="00C25E7A"/>
    <w:rsid w:val="00C27707"/>
    <w:rsid w:val="00C32259"/>
    <w:rsid w:val="00C351BB"/>
    <w:rsid w:val="00C47C28"/>
    <w:rsid w:val="00C64B84"/>
    <w:rsid w:val="00C73F0C"/>
    <w:rsid w:val="00C75E25"/>
    <w:rsid w:val="00C771A8"/>
    <w:rsid w:val="00C8065D"/>
    <w:rsid w:val="00C80ACE"/>
    <w:rsid w:val="00C841A7"/>
    <w:rsid w:val="00C84FF7"/>
    <w:rsid w:val="00CA2712"/>
    <w:rsid w:val="00CA3F6F"/>
    <w:rsid w:val="00CA6036"/>
    <w:rsid w:val="00CA6F35"/>
    <w:rsid w:val="00CA7977"/>
    <w:rsid w:val="00CC6FFF"/>
    <w:rsid w:val="00CD0F54"/>
    <w:rsid w:val="00CD3107"/>
    <w:rsid w:val="00CD46FE"/>
    <w:rsid w:val="00CD7EE0"/>
    <w:rsid w:val="00CE5F63"/>
    <w:rsid w:val="00D06EE9"/>
    <w:rsid w:val="00D12875"/>
    <w:rsid w:val="00D14584"/>
    <w:rsid w:val="00D3102C"/>
    <w:rsid w:val="00D32953"/>
    <w:rsid w:val="00D36D6C"/>
    <w:rsid w:val="00D46413"/>
    <w:rsid w:val="00D4654A"/>
    <w:rsid w:val="00D46B6F"/>
    <w:rsid w:val="00D4708F"/>
    <w:rsid w:val="00D50C86"/>
    <w:rsid w:val="00D61E1F"/>
    <w:rsid w:val="00D63F72"/>
    <w:rsid w:val="00D72351"/>
    <w:rsid w:val="00D73BED"/>
    <w:rsid w:val="00D84452"/>
    <w:rsid w:val="00D93689"/>
    <w:rsid w:val="00DA487D"/>
    <w:rsid w:val="00DA69F3"/>
    <w:rsid w:val="00DB628C"/>
    <w:rsid w:val="00DB6CE9"/>
    <w:rsid w:val="00DC0A2C"/>
    <w:rsid w:val="00DC1F61"/>
    <w:rsid w:val="00DC5873"/>
    <w:rsid w:val="00DD06D3"/>
    <w:rsid w:val="00DF5EA8"/>
    <w:rsid w:val="00E1590C"/>
    <w:rsid w:val="00E17B52"/>
    <w:rsid w:val="00E17FA5"/>
    <w:rsid w:val="00E3071E"/>
    <w:rsid w:val="00E30BD7"/>
    <w:rsid w:val="00E33CE3"/>
    <w:rsid w:val="00E4660A"/>
    <w:rsid w:val="00E479D1"/>
    <w:rsid w:val="00E53D1F"/>
    <w:rsid w:val="00E54FF2"/>
    <w:rsid w:val="00E550B5"/>
    <w:rsid w:val="00E56A38"/>
    <w:rsid w:val="00E57848"/>
    <w:rsid w:val="00E63F91"/>
    <w:rsid w:val="00E7285A"/>
    <w:rsid w:val="00E7680D"/>
    <w:rsid w:val="00E802CF"/>
    <w:rsid w:val="00E929D7"/>
    <w:rsid w:val="00EA7936"/>
    <w:rsid w:val="00EB72EF"/>
    <w:rsid w:val="00EC443F"/>
    <w:rsid w:val="00ED4FB8"/>
    <w:rsid w:val="00ED659D"/>
    <w:rsid w:val="00ED764F"/>
    <w:rsid w:val="00EE1001"/>
    <w:rsid w:val="00EE1684"/>
    <w:rsid w:val="00EE587E"/>
    <w:rsid w:val="00EF1CCA"/>
    <w:rsid w:val="00F0065B"/>
    <w:rsid w:val="00F01FFC"/>
    <w:rsid w:val="00F24246"/>
    <w:rsid w:val="00F3431F"/>
    <w:rsid w:val="00F34591"/>
    <w:rsid w:val="00F374D8"/>
    <w:rsid w:val="00F53CE0"/>
    <w:rsid w:val="00F66DBD"/>
    <w:rsid w:val="00F75B34"/>
    <w:rsid w:val="00F82E23"/>
    <w:rsid w:val="00F917CD"/>
    <w:rsid w:val="00F95562"/>
    <w:rsid w:val="00FA3355"/>
    <w:rsid w:val="00FB060B"/>
    <w:rsid w:val="00FB2D4B"/>
    <w:rsid w:val="00FB4E97"/>
    <w:rsid w:val="00FC0D82"/>
    <w:rsid w:val="00FC1EB4"/>
    <w:rsid w:val="00FC6C26"/>
    <w:rsid w:val="00FD239B"/>
    <w:rsid w:val="00FD2ED1"/>
    <w:rsid w:val="00FD3C1F"/>
    <w:rsid w:val="00FE162A"/>
    <w:rsid w:val="00FE191F"/>
    <w:rsid w:val="00FE3A62"/>
    <w:rsid w:val="00FF0D5B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B875AE"/>
  <w15:chartTrackingRefBased/>
  <w15:docId w15:val="{BC439AA4-7601-495E-820F-A7524E8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7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rsid w:val="00065D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5D94"/>
    <w:pPr>
      <w:tabs>
        <w:tab w:val="center" w:pos="4536"/>
        <w:tab w:val="right" w:pos="9072"/>
      </w:tabs>
    </w:pPr>
  </w:style>
  <w:style w:type="character" w:styleId="Hypertextovodkaz">
    <w:name w:val="Hyperlink"/>
    <w:rsid w:val="000A2BD1"/>
    <w:rPr>
      <w:color w:val="0000FF"/>
      <w:u w:val="single"/>
    </w:rPr>
  </w:style>
  <w:style w:type="paragraph" w:styleId="Textbubliny">
    <w:name w:val="Balloon Text"/>
    <w:basedOn w:val="Normln"/>
    <w:semiHidden/>
    <w:rsid w:val="003715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1A7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2"/>
    <w:qFormat/>
    <w:rsid w:val="000F1A72"/>
    <w:rPr>
      <w:b/>
      <w:bCs/>
    </w:rPr>
  </w:style>
  <w:style w:type="paragraph" w:customStyle="1" w:styleId="Text">
    <w:name w:val="Text"/>
    <w:basedOn w:val="Normln"/>
    <w:link w:val="TextChar"/>
    <w:uiPriority w:val="6"/>
    <w:qFormat/>
    <w:rsid w:val="000F1A72"/>
    <w:pPr>
      <w:spacing w:before="60" w:after="60"/>
    </w:pPr>
    <w:rPr>
      <w:rFonts w:ascii="Calibri" w:hAnsi="Calibri"/>
      <w:sz w:val="20"/>
      <w:szCs w:val="22"/>
      <w:lang w:val="en-US" w:eastAsia="en-US"/>
    </w:rPr>
  </w:style>
  <w:style w:type="character" w:customStyle="1" w:styleId="TextChar">
    <w:name w:val="Text Char"/>
    <w:link w:val="Text"/>
    <w:uiPriority w:val="6"/>
    <w:rsid w:val="000F1A72"/>
    <w:rPr>
      <w:rFonts w:ascii="Calibri" w:hAnsi="Calibri"/>
      <w:szCs w:val="22"/>
      <w:lang w:val="en-US" w:eastAsia="en-US"/>
    </w:rPr>
  </w:style>
  <w:style w:type="paragraph" w:customStyle="1" w:styleId="Nadpislnku">
    <w:name w:val="Nadpis článku"/>
    <w:basedOn w:val="Normln"/>
    <w:link w:val="NadpislnkuChar"/>
    <w:qFormat/>
    <w:rsid w:val="000F1A72"/>
    <w:pPr>
      <w:keepNext/>
      <w:numPr>
        <w:numId w:val="12"/>
      </w:numPr>
      <w:spacing w:before="120"/>
    </w:pPr>
    <w:rPr>
      <w:rFonts w:ascii="Calibri" w:hAnsi="Calibri"/>
      <w:b/>
      <w:sz w:val="20"/>
      <w:szCs w:val="22"/>
      <w:lang w:val="en-US" w:eastAsia="en-US"/>
    </w:rPr>
  </w:style>
  <w:style w:type="paragraph" w:customStyle="1" w:styleId="Odsttext">
    <w:name w:val="Odst. text"/>
    <w:basedOn w:val="Normln"/>
    <w:link w:val="OdsttextChar"/>
    <w:qFormat/>
    <w:rsid w:val="000F1A72"/>
    <w:pPr>
      <w:numPr>
        <w:ilvl w:val="1"/>
        <w:numId w:val="12"/>
      </w:numPr>
      <w:spacing w:after="60"/>
    </w:pPr>
    <w:rPr>
      <w:rFonts w:ascii="Calibri" w:hAnsi="Calibri"/>
      <w:sz w:val="20"/>
      <w:szCs w:val="22"/>
      <w:lang w:val="en-US" w:eastAsia="en-US"/>
    </w:rPr>
  </w:style>
  <w:style w:type="character" w:customStyle="1" w:styleId="NadpislnkuChar">
    <w:name w:val="Nadpis článku Char"/>
    <w:link w:val="Nadpislnku"/>
    <w:locked/>
    <w:rsid w:val="000F1A72"/>
    <w:rPr>
      <w:rFonts w:ascii="Calibri" w:hAnsi="Calibri"/>
      <w:b/>
      <w:szCs w:val="22"/>
      <w:lang w:val="en-US" w:eastAsia="en-US"/>
    </w:rPr>
  </w:style>
  <w:style w:type="paragraph" w:customStyle="1" w:styleId="Odstpsmeno">
    <w:name w:val="Odst. písmeno"/>
    <w:basedOn w:val="Normln"/>
    <w:link w:val="OdstpsmenoChar"/>
    <w:qFormat/>
    <w:rsid w:val="000F1A72"/>
    <w:pPr>
      <w:numPr>
        <w:ilvl w:val="2"/>
        <w:numId w:val="12"/>
      </w:numPr>
      <w:spacing w:before="60"/>
    </w:pPr>
    <w:rPr>
      <w:rFonts w:ascii="Calibri" w:hAnsi="Calibri"/>
      <w:sz w:val="20"/>
      <w:szCs w:val="22"/>
      <w:lang w:val="en-US" w:eastAsia="en-US"/>
    </w:rPr>
  </w:style>
  <w:style w:type="character" w:customStyle="1" w:styleId="OdsttextChar">
    <w:name w:val="Odst. text Char"/>
    <w:link w:val="Odsttext"/>
    <w:locked/>
    <w:rsid w:val="000F1A72"/>
    <w:rPr>
      <w:rFonts w:ascii="Calibri" w:hAnsi="Calibri"/>
      <w:szCs w:val="22"/>
      <w:lang w:val="en-US" w:eastAsia="en-US"/>
    </w:rPr>
  </w:style>
  <w:style w:type="paragraph" w:customStyle="1" w:styleId="Odstbod">
    <w:name w:val="Odst. bod"/>
    <w:basedOn w:val="Normln"/>
    <w:qFormat/>
    <w:rsid w:val="000F1A72"/>
    <w:pPr>
      <w:numPr>
        <w:ilvl w:val="3"/>
        <w:numId w:val="12"/>
      </w:numPr>
      <w:tabs>
        <w:tab w:val="num" w:pos="2880"/>
      </w:tabs>
      <w:spacing w:before="60"/>
      <w:ind w:left="2880" w:hanging="360"/>
    </w:pPr>
    <w:rPr>
      <w:rFonts w:ascii="Calibri" w:hAnsi="Calibri"/>
      <w:sz w:val="20"/>
      <w:szCs w:val="22"/>
      <w:lang w:val="en-US" w:eastAsia="en-US"/>
    </w:rPr>
  </w:style>
  <w:style w:type="character" w:customStyle="1" w:styleId="OdstpsmenoChar">
    <w:name w:val="Odst. písmeno Char"/>
    <w:link w:val="Odstpsmeno"/>
    <w:locked/>
    <w:rsid w:val="000F1A72"/>
    <w:rPr>
      <w:rFonts w:ascii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VYHLÁŠENÍ ZAKÁZKY – VÝZVA K PODÁNÍ NABÍDKY</vt:lpstr>
    </vt:vector>
  </TitlesOfParts>
  <Company>organisation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VYHLÁŠENÍ ZAKÁZKY – VÝZVA K PODÁNÍ NABÍDKY</dc:title>
  <dc:subject/>
  <dc:creator>user</dc:creator>
  <cp:keywords/>
  <dc:description/>
  <cp:lastModifiedBy>user user</cp:lastModifiedBy>
  <cp:revision>27</cp:revision>
  <dcterms:created xsi:type="dcterms:W3CDTF">2021-07-13T13:04:00Z</dcterms:created>
  <dcterms:modified xsi:type="dcterms:W3CDTF">2021-08-22T09:21:00Z</dcterms:modified>
</cp:coreProperties>
</file>