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95" w:rsidRDefault="00647F95" w:rsidP="00647F95">
      <w:pPr>
        <w:outlineLvl w:val="0"/>
      </w:pPr>
      <w:proofErr w:type="spellStart"/>
      <w:r>
        <w:rPr>
          <w:b/>
          <w:bCs/>
        </w:rPr>
        <w:t>From</w:t>
      </w:r>
      <w:proofErr w:type="spellEnd"/>
      <w:r>
        <w:rPr>
          <w:b/>
          <w:bCs/>
        </w:rPr>
        <w:t>:</w:t>
      </w:r>
      <w:r>
        <w:t xml:space="preserve"> Vydra Vladimír &lt;</w:t>
      </w:r>
      <w:hyperlink r:id="rId7" w:history="1">
        <w:r>
          <w:rPr>
            <w:rStyle w:val="Hypertextovodkaz"/>
          </w:rPr>
          <w:t>Vladimir.Vydra@cht-pce.cz</w:t>
        </w:r>
      </w:hyperlink>
      <w:r>
        <w:t xml:space="preserve">&gt; </w:t>
      </w:r>
      <w:r>
        <w:br/>
      </w:r>
      <w:r>
        <w:rPr>
          <w:b/>
          <w:bCs/>
        </w:rPr>
        <w:t>Sent:</w:t>
      </w:r>
      <w:r>
        <w:t xml:space="preserve"> </w:t>
      </w:r>
      <w:proofErr w:type="spellStart"/>
      <w:r>
        <w:t>Friday</w:t>
      </w:r>
      <w:proofErr w:type="spellEnd"/>
      <w:r>
        <w:t xml:space="preserve">, </w:t>
      </w:r>
      <w:proofErr w:type="spellStart"/>
      <w:r>
        <w:t>March</w:t>
      </w:r>
      <w:proofErr w:type="spellEnd"/>
      <w:r>
        <w:t xml:space="preserve"> 20, 2020 8:35 AM</w:t>
      </w:r>
      <w:r>
        <w:br/>
      </w:r>
      <w:proofErr w:type="spellStart"/>
      <w:r>
        <w:rPr>
          <w:b/>
          <w:bCs/>
        </w:rPr>
        <w:t>Subject</w:t>
      </w:r>
      <w:proofErr w:type="spellEnd"/>
      <w:r>
        <w:rPr>
          <w:b/>
          <w:bCs/>
        </w:rPr>
        <w:t>:</w:t>
      </w:r>
      <w:r>
        <w:t xml:space="preserve"> Stavba budovy na zpracování masa a podniková prodejna</w:t>
      </w:r>
    </w:p>
    <w:p w:rsidR="00647F95" w:rsidRDefault="00647F95" w:rsidP="00647F95">
      <w:r>
        <w:t>Dobrý den,</w:t>
      </w:r>
    </w:p>
    <w:p w:rsidR="00647F95" w:rsidRDefault="00647F95" w:rsidP="00647F95">
      <w:r>
        <w:t>Prosím o sdělení, kde naleznu kompletní zadávací podmínky k zakázce:</w:t>
      </w:r>
    </w:p>
    <w:p w:rsidR="00647F95" w:rsidRDefault="00647F95" w:rsidP="00647F95">
      <w:pPr>
        <w:rPr>
          <w:rFonts w:ascii="Verdana" w:hAnsi="Verdana"/>
          <w:b/>
          <w:bCs/>
          <w:color w:val="000000"/>
          <w:sz w:val="34"/>
          <w:szCs w:val="34"/>
          <w:shd w:val="clear" w:color="auto" w:fill="DDDDDD"/>
        </w:rPr>
      </w:pPr>
      <w:r>
        <w:rPr>
          <w:rFonts w:ascii="Verdana" w:hAnsi="Verdana"/>
          <w:b/>
          <w:bCs/>
          <w:color w:val="000000"/>
          <w:sz w:val="34"/>
          <w:szCs w:val="34"/>
          <w:shd w:val="clear" w:color="auto" w:fill="DDDDDD"/>
        </w:rPr>
        <w:t>Stavba budovy na zpracování masa a podniková prodejna</w:t>
      </w:r>
    </w:p>
    <w:tbl>
      <w:tblPr>
        <w:tblW w:w="5000" w:type="pct"/>
        <w:tblCellSpacing w:w="18" w:type="dxa"/>
        <w:tblCellMar>
          <w:left w:w="0" w:type="dxa"/>
          <w:right w:w="0" w:type="dxa"/>
        </w:tblCellMar>
        <w:tblLook w:val="04A0" w:firstRow="1" w:lastRow="0" w:firstColumn="1" w:lastColumn="0" w:noHBand="0" w:noVBand="1"/>
      </w:tblPr>
      <w:tblGrid>
        <w:gridCol w:w="9072"/>
      </w:tblGrid>
      <w:tr w:rsidR="00647F95" w:rsidTr="00647F95">
        <w:trPr>
          <w:tblCellSpacing w:w="18" w:type="dxa"/>
        </w:trPr>
        <w:tc>
          <w:tcPr>
            <w:tcW w:w="0" w:type="auto"/>
            <w:tcMar>
              <w:top w:w="30" w:type="dxa"/>
              <w:left w:w="30" w:type="dxa"/>
              <w:bottom w:w="30" w:type="dxa"/>
              <w:right w:w="30" w:type="dxa"/>
            </w:tcMar>
            <w:vAlign w:val="center"/>
            <w:hideMark/>
          </w:tcPr>
          <w:p w:rsidR="00647F95" w:rsidRDefault="00647F95">
            <w:pPr>
              <w:rPr>
                <w:rFonts w:ascii="Verdana" w:hAnsi="Verdana"/>
                <w:color w:val="000000"/>
                <w:sz w:val="20"/>
                <w:szCs w:val="20"/>
              </w:rPr>
            </w:pPr>
            <w:proofErr w:type="spellStart"/>
            <w:proofErr w:type="gramStart"/>
            <w:r>
              <w:rPr>
                <w:rFonts w:ascii="Verdana" w:hAnsi="Verdana"/>
                <w:color w:val="000000"/>
                <w:sz w:val="20"/>
                <w:szCs w:val="20"/>
              </w:rPr>
              <w:t>p.p.</w:t>
            </w:r>
            <w:proofErr w:type="gramEnd"/>
            <w:r>
              <w:rPr>
                <w:rFonts w:ascii="Verdana" w:hAnsi="Verdana"/>
                <w:color w:val="000000"/>
                <w:sz w:val="20"/>
                <w:szCs w:val="20"/>
              </w:rPr>
              <w:t>č</w:t>
            </w:r>
            <w:proofErr w:type="spellEnd"/>
            <w:r>
              <w:rPr>
                <w:rFonts w:ascii="Verdana" w:hAnsi="Verdana"/>
                <w:color w:val="000000"/>
                <w:sz w:val="20"/>
                <w:szCs w:val="20"/>
              </w:rPr>
              <w:t xml:space="preserve">. 81/990, 1/218 </w:t>
            </w:r>
          </w:p>
        </w:tc>
      </w:tr>
      <w:tr w:rsidR="00647F95" w:rsidTr="00647F95">
        <w:trPr>
          <w:tblCellSpacing w:w="18" w:type="dxa"/>
        </w:trPr>
        <w:tc>
          <w:tcPr>
            <w:tcW w:w="0" w:type="auto"/>
            <w:tcMar>
              <w:top w:w="30" w:type="dxa"/>
              <w:left w:w="30" w:type="dxa"/>
              <w:bottom w:w="30" w:type="dxa"/>
              <w:right w:w="30" w:type="dxa"/>
            </w:tcMar>
            <w:vAlign w:val="center"/>
            <w:hideMark/>
          </w:tcPr>
          <w:p w:rsidR="00647F95" w:rsidRDefault="00647F95">
            <w:pPr>
              <w:rPr>
                <w:rFonts w:ascii="Verdana" w:hAnsi="Verdana"/>
                <w:color w:val="000000"/>
                <w:sz w:val="20"/>
                <w:szCs w:val="20"/>
              </w:rPr>
            </w:pPr>
            <w:r>
              <w:rPr>
                <w:rFonts w:ascii="Verdana" w:hAnsi="Verdana"/>
                <w:color w:val="000000"/>
                <w:sz w:val="20"/>
                <w:szCs w:val="20"/>
              </w:rPr>
              <w:t xml:space="preserve">251 01 Nupaky (27) </w:t>
            </w:r>
          </w:p>
        </w:tc>
      </w:tr>
      <w:tr w:rsidR="00647F95" w:rsidTr="00647F95">
        <w:trPr>
          <w:tblCellSpacing w:w="18" w:type="dxa"/>
        </w:trPr>
        <w:tc>
          <w:tcPr>
            <w:tcW w:w="0" w:type="auto"/>
            <w:tcMar>
              <w:top w:w="30" w:type="dxa"/>
              <w:left w:w="30" w:type="dxa"/>
              <w:bottom w:w="30" w:type="dxa"/>
              <w:right w:w="30" w:type="dxa"/>
            </w:tcMar>
            <w:vAlign w:val="center"/>
            <w:hideMark/>
          </w:tcPr>
          <w:p w:rsidR="00647F95" w:rsidRDefault="00647F95">
            <w:pPr>
              <w:rPr>
                <w:rFonts w:ascii="Verdana" w:hAnsi="Verdana"/>
                <w:color w:val="000000"/>
                <w:sz w:val="20"/>
                <w:szCs w:val="20"/>
              </w:rPr>
            </w:pPr>
            <w:r>
              <w:rPr>
                <w:rFonts w:ascii="Verdana" w:hAnsi="Verdana"/>
                <w:color w:val="000000"/>
                <w:sz w:val="20"/>
                <w:szCs w:val="20"/>
              </w:rPr>
              <w:t xml:space="preserve">Praha-východ / Nupaky </w:t>
            </w:r>
          </w:p>
        </w:tc>
      </w:tr>
      <w:tr w:rsidR="00647F95" w:rsidTr="00647F95">
        <w:trPr>
          <w:tblCellSpacing w:w="18" w:type="dxa"/>
        </w:trPr>
        <w:tc>
          <w:tcPr>
            <w:tcW w:w="0" w:type="auto"/>
            <w:tcMar>
              <w:top w:w="30" w:type="dxa"/>
              <w:left w:w="30" w:type="dxa"/>
              <w:bottom w:w="30" w:type="dxa"/>
              <w:right w:w="30" w:type="dxa"/>
            </w:tcMar>
            <w:vAlign w:val="center"/>
            <w:hideMark/>
          </w:tcPr>
          <w:p w:rsidR="00647F95" w:rsidRDefault="00647F95">
            <w:pPr>
              <w:rPr>
                <w:rFonts w:ascii="Verdana" w:hAnsi="Verdana"/>
                <w:color w:val="000000"/>
                <w:sz w:val="20"/>
                <w:szCs w:val="20"/>
              </w:rPr>
            </w:pPr>
            <w:proofErr w:type="spellStart"/>
            <w:r>
              <w:rPr>
                <w:rFonts w:ascii="Verdana" w:hAnsi="Verdana"/>
                <w:color w:val="000000"/>
                <w:sz w:val="20"/>
                <w:szCs w:val="20"/>
              </w:rPr>
              <w:t>Offname</w:t>
            </w:r>
            <w:proofErr w:type="spellEnd"/>
            <w:r>
              <w:rPr>
                <w:rFonts w:ascii="Verdana" w:hAnsi="Verdana"/>
                <w:color w:val="000000"/>
                <w:sz w:val="20"/>
                <w:szCs w:val="20"/>
              </w:rPr>
              <w:t>: Budova na zpracování masa a podniková prodejna</w:t>
            </w:r>
          </w:p>
        </w:tc>
      </w:tr>
    </w:tbl>
    <w:p w:rsidR="00647F95" w:rsidRDefault="00647F95" w:rsidP="00647F95">
      <w:pPr>
        <w:rPr>
          <w:rFonts w:ascii="Verdana" w:eastAsiaTheme="minorHAnsi" w:hAnsi="Verdana" w:cs="Calibri"/>
          <w:b/>
          <w:bCs/>
          <w:color w:val="000000"/>
          <w:sz w:val="34"/>
          <w:szCs w:val="34"/>
          <w:shd w:val="clear" w:color="auto" w:fill="DDDDDD"/>
          <w:lang w:eastAsia="en-US"/>
        </w:rPr>
      </w:pPr>
    </w:p>
    <w:p w:rsidR="00647F95" w:rsidRDefault="00647F95" w:rsidP="00647F95">
      <w:pPr>
        <w:rPr>
          <w:rFonts w:ascii="Verdana" w:hAnsi="Verdana"/>
          <w:b/>
          <w:bCs/>
          <w:color w:val="000000"/>
          <w:sz w:val="20"/>
          <w:szCs w:val="20"/>
        </w:rPr>
      </w:pPr>
      <w:r>
        <w:rPr>
          <w:rFonts w:ascii="Verdana" w:hAnsi="Verdana"/>
          <w:b/>
          <w:bCs/>
          <w:color w:val="000000"/>
          <w:sz w:val="20"/>
          <w:szCs w:val="20"/>
        </w:rPr>
        <w:t>Investor – společnost</w:t>
      </w:r>
    </w:p>
    <w:p w:rsidR="00647F95" w:rsidRDefault="00647F95" w:rsidP="00647F95">
      <w:pPr>
        <w:rPr>
          <w:rFonts w:ascii="Verdana" w:hAnsi="Verdana"/>
          <w:color w:val="000000"/>
          <w:sz w:val="20"/>
          <w:szCs w:val="20"/>
        </w:rPr>
      </w:pPr>
      <w:hyperlink r:id="rId8" w:history="1">
        <w:r>
          <w:rPr>
            <w:rStyle w:val="Hypertextovodkaz"/>
            <w:rFonts w:ascii="Verdana" w:hAnsi="Verdana"/>
            <w:b/>
            <w:bCs/>
            <w:color w:val="CA0000"/>
            <w:sz w:val="20"/>
            <w:szCs w:val="20"/>
          </w:rPr>
          <w:t>Provazník Pavel</w:t>
        </w:r>
      </w:hyperlink>
      <w:r>
        <w:rPr>
          <w:rFonts w:ascii="Verdana" w:hAnsi="Verdana"/>
          <w:b/>
          <w:bCs/>
          <w:color w:val="000000"/>
          <w:sz w:val="20"/>
          <w:szCs w:val="20"/>
        </w:rPr>
        <w:t xml:space="preserve"> </w:t>
      </w:r>
      <w:r>
        <w:rPr>
          <w:rFonts w:ascii="Verdana" w:hAnsi="Verdana"/>
          <w:color w:val="000000"/>
          <w:sz w:val="20"/>
          <w:szCs w:val="20"/>
        </w:rPr>
        <w:br/>
        <w:t xml:space="preserve">Na rozdílu </w:t>
      </w:r>
      <w:proofErr w:type="gramStart"/>
      <w:r>
        <w:rPr>
          <w:rFonts w:ascii="Verdana" w:hAnsi="Verdana"/>
          <w:color w:val="000000"/>
          <w:sz w:val="20"/>
          <w:szCs w:val="20"/>
        </w:rPr>
        <w:t>č.p.</w:t>
      </w:r>
      <w:proofErr w:type="gramEnd"/>
      <w:r>
        <w:rPr>
          <w:rFonts w:ascii="Verdana" w:hAnsi="Verdana"/>
          <w:color w:val="000000"/>
          <w:sz w:val="20"/>
          <w:szCs w:val="20"/>
        </w:rPr>
        <w:t xml:space="preserve"> 718/28, Vokovice</w:t>
      </w:r>
      <w:r>
        <w:rPr>
          <w:rFonts w:ascii="Verdana" w:hAnsi="Verdana"/>
          <w:color w:val="000000"/>
          <w:sz w:val="20"/>
          <w:szCs w:val="20"/>
        </w:rPr>
        <w:br/>
        <w:t>160 00 Praha 6</w:t>
      </w:r>
    </w:p>
    <w:p w:rsidR="00647F95" w:rsidRDefault="00647F95" w:rsidP="00647F95">
      <w:pPr>
        <w:rPr>
          <w:rFonts w:ascii="Verdana" w:hAnsi="Verdana"/>
          <w:b/>
          <w:bCs/>
          <w:color w:val="000000"/>
          <w:sz w:val="34"/>
          <w:szCs w:val="34"/>
          <w:shd w:val="clear" w:color="auto" w:fill="DDDDDD"/>
        </w:rPr>
      </w:pPr>
      <w:bookmarkStart w:id="0" w:name="_GoBack"/>
      <w:bookmarkEnd w:id="0"/>
    </w:p>
    <w:p w:rsidR="00647F95" w:rsidRDefault="00647F95" w:rsidP="00647F95">
      <w:pPr>
        <w:rPr>
          <w:rFonts w:ascii="Verdana" w:hAnsi="Verdana"/>
          <w:b/>
          <w:bCs/>
          <w:color w:val="000000"/>
          <w:sz w:val="34"/>
          <w:szCs w:val="34"/>
          <w:shd w:val="clear" w:color="auto" w:fill="DDDDDD"/>
        </w:rPr>
      </w:pPr>
      <w:r>
        <w:rPr>
          <w:rFonts w:ascii="Verdana" w:hAnsi="Verdana"/>
          <w:b/>
          <w:bCs/>
          <w:color w:val="000000"/>
          <w:sz w:val="34"/>
          <w:szCs w:val="34"/>
          <w:shd w:val="clear" w:color="auto" w:fill="DDDDDD"/>
        </w:rPr>
        <w:t>Děkuji</w:t>
      </w:r>
    </w:p>
    <w:p w:rsidR="00647F95" w:rsidRDefault="00647F95" w:rsidP="00647F95">
      <w:pPr>
        <w:rPr>
          <w:rFonts w:ascii="Verdana" w:hAnsi="Verdana"/>
          <w:b/>
          <w:bCs/>
          <w:color w:val="000000"/>
          <w:sz w:val="34"/>
          <w:szCs w:val="34"/>
          <w:shd w:val="clear" w:color="auto" w:fill="DDDDDD"/>
        </w:rPr>
      </w:pPr>
    </w:p>
    <w:p w:rsidR="00647F95" w:rsidRDefault="00647F95" w:rsidP="00647F95">
      <w:pPr>
        <w:rPr>
          <w:rFonts w:ascii="Verdana" w:hAnsi="Verdana"/>
          <w:b/>
          <w:bCs/>
          <w:color w:val="000000"/>
          <w:sz w:val="34"/>
          <w:szCs w:val="34"/>
          <w:shd w:val="clear" w:color="auto" w:fill="DDDDDD"/>
        </w:rPr>
      </w:pPr>
    </w:p>
    <w:p w:rsidR="00647F95" w:rsidRDefault="00647F95" w:rsidP="00647F95">
      <w:pPr>
        <w:rPr>
          <w:rFonts w:ascii="Calibri" w:hAnsi="Calibri"/>
        </w:rPr>
      </w:pPr>
    </w:p>
    <w:p w:rsidR="00647F95" w:rsidRDefault="00647F95" w:rsidP="00647F95"/>
    <w:tbl>
      <w:tblPr>
        <w:tblW w:w="0" w:type="auto"/>
        <w:tblCellMar>
          <w:left w:w="0" w:type="dxa"/>
          <w:right w:w="0" w:type="dxa"/>
        </w:tblCellMar>
        <w:tblLook w:val="04A0" w:firstRow="1" w:lastRow="0" w:firstColumn="1" w:lastColumn="0" w:noHBand="0" w:noVBand="1"/>
      </w:tblPr>
      <w:tblGrid>
        <w:gridCol w:w="2000"/>
        <w:gridCol w:w="6000"/>
      </w:tblGrid>
      <w:tr w:rsidR="00647F95" w:rsidTr="00647F95">
        <w:tc>
          <w:tcPr>
            <w:tcW w:w="2000" w:type="dxa"/>
            <w:tcBorders>
              <w:top w:val="nil"/>
              <w:left w:val="nil"/>
              <w:bottom w:val="nil"/>
              <w:right w:val="single" w:sz="8" w:space="0" w:color="EBEBEB"/>
            </w:tcBorders>
            <w:tcMar>
              <w:top w:w="0" w:type="dxa"/>
              <w:left w:w="100" w:type="dxa"/>
              <w:bottom w:w="0" w:type="dxa"/>
              <w:right w:w="300" w:type="dxa"/>
            </w:tcMar>
            <w:vAlign w:val="center"/>
            <w:hideMark/>
          </w:tcPr>
          <w:p w:rsidR="00647F95" w:rsidRDefault="00647F95">
            <w:pPr>
              <w:spacing w:after="160" w:line="252" w:lineRule="auto"/>
              <w:jc w:val="right"/>
            </w:pPr>
            <w:r>
              <w:rPr>
                <w:noProof/>
              </w:rPr>
              <w:lastRenderedPageBreak/>
              <w:drawing>
                <wp:inline distT="0" distB="0" distL="0" distR="0">
                  <wp:extent cx="960120" cy="1074420"/>
                  <wp:effectExtent l="0" t="0" r="0" b="0"/>
                  <wp:docPr id="3" name="Obrázek 3" descr="cid:image001.png@01D5FE92.7E33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5FE92.7E33EC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60120" cy="1074420"/>
                          </a:xfrm>
                          <a:prstGeom prst="rect">
                            <a:avLst/>
                          </a:prstGeom>
                          <a:noFill/>
                          <a:ln>
                            <a:noFill/>
                          </a:ln>
                        </pic:spPr>
                      </pic:pic>
                    </a:graphicData>
                  </a:graphic>
                </wp:inline>
              </w:drawing>
            </w:r>
          </w:p>
        </w:tc>
        <w:tc>
          <w:tcPr>
            <w:tcW w:w="6000" w:type="dxa"/>
            <w:tcMar>
              <w:top w:w="0" w:type="dxa"/>
              <w:left w:w="300" w:type="dxa"/>
              <w:bottom w:w="0" w:type="dxa"/>
              <w:right w:w="70" w:type="dxa"/>
            </w:tcMar>
            <w:vAlign w:val="center"/>
            <w:hideMark/>
          </w:tcPr>
          <w:p w:rsidR="00647F95" w:rsidRDefault="00647F95">
            <w:pPr>
              <w:spacing w:after="160" w:line="252" w:lineRule="auto"/>
              <w:rPr>
                <w:rFonts w:ascii="Arial" w:hAnsi="Arial" w:cs="Arial"/>
                <w:color w:val="0056BB"/>
                <w:sz w:val="16"/>
                <w:szCs w:val="16"/>
              </w:rPr>
            </w:pPr>
            <w:r>
              <w:rPr>
                <w:rFonts w:ascii="Arial" w:hAnsi="Arial" w:cs="Arial"/>
                <w:b/>
                <w:bCs/>
                <w:color w:val="0056BB"/>
                <w:sz w:val="19"/>
                <w:szCs w:val="19"/>
              </w:rPr>
              <w:t>Ing. Vladimír Vydra</w:t>
            </w:r>
            <w:r>
              <w:rPr>
                <w:rFonts w:ascii="Arial" w:hAnsi="Arial" w:cs="Arial"/>
                <w:b/>
                <w:bCs/>
                <w:color w:val="0056BB"/>
                <w:sz w:val="19"/>
                <w:szCs w:val="19"/>
              </w:rPr>
              <w:br/>
            </w:r>
            <w:r>
              <w:rPr>
                <w:rFonts w:ascii="Arial" w:hAnsi="Arial" w:cs="Arial"/>
                <w:color w:val="0056BB"/>
                <w:sz w:val="16"/>
                <w:szCs w:val="16"/>
              </w:rPr>
              <w:t>obchodní manažer</w:t>
            </w:r>
            <w:r>
              <w:rPr>
                <w:rFonts w:ascii="Arial" w:hAnsi="Arial" w:cs="Arial"/>
                <w:color w:val="0056BB"/>
                <w:sz w:val="16"/>
                <w:szCs w:val="16"/>
              </w:rPr>
              <w:br/>
              <w:t>divize pozemních staveb</w:t>
            </w:r>
            <w:r>
              <w:rPr>
                <w:rFonts w:ascii="Arial" w:hAnsi="Arial" w:cs="Arial"/>
                <w:color w:val="0056BB"/>
                <w:sz w:val="16"/>
                <w:szCs w:val="16"/>
              </w:rPr>
              <w:br/>
            </w:r>
            <w:r>
              <w:rPr>
                <w:rFonts w:ascii="Arial" w:hAnsi="Arial" w:cs="Arial"/>
                <w:color w:val="0056BB"/>
                <w:sz w:val="10"/>
                <w:szCs w:val="10"/>
              </w:rPr>
              <w:br/>
            </w:r>
            <w:r>
              <w:rPr>
                <w:rFonts w:ascii="Arial" w:hAnsi="Arial" w:cs="Arial"/>
                <w:b/>
                <w:bCs/>
                <w:color w:val="0056BB"/>
                <w:sz w:val="16"/>
                <w:szCs w:val="16"/>
              </w:rPr>
              <w:t xml:space="preserve">T: </w:t>
            </w:r>
            <w:r>
              <w:rPr>
                <w:rFonts w:ascii="Arial" w:hAnsi="Arial" w:cs="Arial"/>
                <w:color w:val="0056BB"/>
                <w:sz w:val="16"/>
                <w:szCs w:val="16"/>
              </w:rPr>
              <w:t>  </w:t>
            </w:r>
            <w:r>
              <w:rPr>
                <w:rFonts w:ascii="Arial" w:hAnsi="Arial" w:cs="Arial"/>
                <w:b/>
                <w:bCs/>
                <w:color w:val="0056BB"/>
                <w:sz w:val="16"/>
                <w:szCs w:val="16"/>
              </w:rPr>
              <w:t xml:space="preserve">M: </w:t>
            </w:r>
            <w:r>
              <w:rPr>
                <w:rFonts w:ascii="Arial" w:hAnsi="Arial" w:cs="Arial"/>
                <w:color w:val="0056BB"/>
                <w:sz w:val="16"/>
                <w:szCs w:val="16"/>
              </w:rPr>
              <w:t>+420 602 354 679</w:t>
            </w:r>
            <w:r>
              <w:rPr>
                <w:rFonts w:ascii="Arial" w:hAnsi="Arial" w:cs="Arial"/>
                <w:color w:val="0056BB"/>
                <w:sz w:val="16"/>
                <w:szCs w:val="16"/>
              </w:rPr>
              <w:br/>
            </w:r>
            <w:r>
              <w:rPr>
                <w:rFonts w:ascii="Arial" w:hAnsi="Arial" w:cs="Arial"/>
                <w:b/>
                <w:bCs/>
                <w:color w:val="0056BB"/>
                <w:sz w:val="16"/>
                <w:szCs w:val="16"/>
              </w:rPr>
              <w:t xml:space="preserve">E: </w:t>
            </w:r>
            <w:hyperlink r:id="rId11" w:history="1">
              <w:r>
                <w:rPr>
                  <w:rStyle w:val="Hypertextovodkaz"/>
                  <w:rFonts w:ascii="Arial" w:hAnsi="Arial" w:cs="Arial"/>
                  <w:sz w:val="16"/>
                  <w:szCs w:val="16"/>
                </w:rPr>
                <w:t>vladimir.vydra@cht-pce.cz</w:t>
              </w:r>
            </w:hyperlink>
            <w:r>
              <w:rPr>
                <w:rFonts w:ascii="Arial" w:hAnsi="Arial" w:cs="Arial"/>
                <w:color w:val="0056BB"/>
                <w:sz w:val="16"/>
                <w:szCs w:val="16"/>
              </w:rPr>
              <w:br/>
            </w:r>
            <w:r>
              <w:rPr>
                <w:rFonts w:ascii="Arial" w:hAnsi="Arial" w:cs="Arial"/>
                <w:color w:val="0056BB"/>
                <w:sz w:val="10"/>
                <w:szCs w:val="10"/>
              </w:rPr>
              <w:br/>
            </w:r>
            <w:r>
              <w:rPr>
                <w:rFonts w:ascii="Arial" w:hAnsi="Arial" w:cs="Arial"/>
                <w:b/>
                <w:bCs/>
                <w:color w:val="0056BB"/>
                <w:sz w:val="18"/>
                <w:szCs w:val="18"/>
              </w:rPr>
              <w:t>Chládek a Tintěra, Pardubice a.s.</w:t>
            </w:r>
            <w:r>
              <w:rPr>
                <w:rFonts w:ascii="Arial" w:hAnsi="Arial" w:cs="Arial"/>
                <w:b/>
                <w:bCs/>
                <w:color w:val="0056BB"/>
                <w:sz w:val="18"/>
                <w:szCs w:val="18"/>
              </w:rPr>
              <w:br/>
            </w:r>
            <w:r>
              <w:rPr>
                <w:rFonts w:ascii="Arial" w:hAnsi="Arial" w:cs="Arial"/>
                <w:color w:val="0056BB"/>
                <w:sz w:val="16"/>
                <w:szCs w:val="16"/>
              </w:rPr>
              <w:t>K Vápence 2677, 530 02 Pardubice – Zelené Předměstí</w:t>
            </w:r>
            <w:r>
              <w:rPr>
                <w:rFonts w:ascii="Arial" w:hAnsi="Arial" w:cs="Arial"/>
                <w:color w:val="0056BB"/>
                <w:sz w:val="16"/>
                <w:szCs w:val="16"/>
              </w:rPr>
              <w:br/>
            </w:r>
            <w:r>
              <w:rPr>
                <w:rFonts w:ascii="Arial" w:hAnsi="Arial" w:cs="Arial"/>
                <w:color w:val="0056BB"/>
                <w:sz w:val="10"/>
                <w:szCs w:val="10"/>
              </w:rPr>
              <w:br/>
            </w:r>
            <w:hyperlink r:id="rId12" w:history="1">
              <w:r>
                <w:rPr>
                  <w:rStyle w:val="Hypertextovodkaz"/>
                  <w:rFonts w:ascii="Arial" w:hAnsi="Arial" w:cs="Arial"/>
                  <w:b/>
                  <w:bCs/>
                  <w:sz w:val="18"/>
                  <w:szCs w:val="18"/>
                </w:rPr>
                <w:t>www.cht-pce.cz</w:t>
              </w:r>
            </w:hyperlink>
          </w:p>
        </w:tc>
      </w:tr>
    </w:tbl>
    <w:p w:rsidR="00647F95" w:rsidRDefault="00647F95" w:rsidP="00647F95">
      <w:pPr>
        <w:spacing w:after="160" w:line="252" w:lineRule="auto"/>
        <w:rPr>
          <w:rFonts w:ascii="Calibri" w:eastAsiaTheme="minorHAnsi" w:hAnsi="Calibri" w:cs="Calibri"/>
        </w:rPr>
      </w:pPr>
    </w:p>
    <w:p w:rsidR="00647F95" w:rsidRDefault="00647F95" w:rsidP="00647F95">
      <w:pPr>
        <w:rPr>
          <w:lang w:eastAsia="en-US"/>
        </w:rPr>
      </w:pPr>
    </w:p>
    <w:p w:rsidR="00647F95" w:rsidRDefault="00647F95" w:rsidP="00647F95">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15"/>
          <w:szCs w:val="15"/>
        </w:rPr>
        <w:t>------------------------------------------------------------------------------------------</w:t>
      </w:r>
      <w:r>
        <w:rPr>
          <w:rFonts w:ascii="Times New Roman" w:hAnsi="Times New Roman" w:cs="Times New Roman"/>
          <w:sz w:val="15"/>
          <w:szCs w:val="15"/>
        </w:rPr>
        <w:br/>
      </w:r>
      <w:r>
        <w:rPr>
          <w:rFonts w:ascii="Times New Roman" w:hAnsi="Times New Roman" w:cs="Times New Roman"/>
          <w:b/>
          <w:bCs/>
          <w:sz w:val="15"/>
          <w:szCs w:val="15"/>
        </w:rPr>
        <w:t xml:space="preserve">Společnost </w:t>
      </w:r>
      <w:proofErr w:type="spellStart"/>
      <w:r>
        <w:rPr>
          <w:rFonts w:ascii="Times New Roman" w:hAnsi="Times New Roman" w:cs="Times New Roman"/>
          <w:b/>
          <w:bCs/>
          <w:sz w:val="15"/>
          <w:szCs w:val="15"/>
        </w:rPr>
        <w:t>enteria</w:t>
      </w:r>
      <w:proofErr w:type="spellEnd"/>
      <w:r>
        <w:rPr>
          <w:rFonts w:ascii="Times New Roman" w:hAnsi="Times New Roman" w:cs="Times New Roman"/>
          <w:b/>
          <w:bCs/>
          <w:sz w:val="15"/>
          <w:szCs w:val="15"/>
        </w:rPr>
        <w:t xml:space="preserve"> a.s. a všechny její dceřiné společnosti, členové českého stavebního holdingu</w:t>
      </w:r>
      <w:r>
        <w:rPr>
          <w:rFonts w:ascii="Times New Roman" w:hAnsi="Times New Roman" w:cs="Times New Roman"/>
          <w:sz w:val="15"/>
          <w:szCs w:val="15"/>
        </w:rPr>
        <w:t xml:space="preserve"> tímto jednoznačně stanovují a prohlašují, že obsah této emailové zprávy má pouze informativní a nezávazný charakter, není potvrzením přijetí nabídky z jejich strany, či závazným právním jednáním, které by vedlo ke vzniku, zániku či změně jakéhokoli smluvního vztahu se společností </w:t>
      </w:r>
      <w:proofErr w:type="spellStart"/>
      <w:r>
        <w:rPr>
          <w:rFonts w:ascii="Times New Roman" w:hAnsi="Times New Roman" w:cs="Times New Roman"/>
          <w:b/>
          <w:bCs/>
          <w:sz w:val="15"/>
          <w:szCs w:val="15"/>
        </w:rPr>
        <w:t>enteria</w:t>
      </w:r>
      <w:proofErr w:type="spellEnd"/>
      <w:r>
        <w:rPr>
          <w:rFonts w:ascii="Times New Roman" w:hAnsi="Times New Roman" w:cs="Times New Roman"/>
          <w:b/>
          <w:bCs/>
          <w:sz w:val="15"/>
          <w:szCs w:val="15"/>
        </w:rPr>
        <w:t xml:space="preserve"> a.s. či jejími dceřinými společnostmi, členy českého stavebního holdingu.</w:t>
      </w:r>
      <w:r>
        <w:rPr>
          <w:rFonts w:ascii="Times New Roman" w:hAnsi="Times New Roman" w:cs="Times New Roman"/>
          <w:sz w:val="15"/>
          <w:szCs w:val="15"/>
        </w:rPr>
        <w:br/>
        <w:t xml:space="preserve">Ledaže ze samotného emailu výslovně nevyplývá jinak, je pro vznik, změnu či zánik smluvního vztahu nebo jeho přijetí, změnu či odmítnutí nabídky je obligatorní písemná listinná podoba podepsaná oprávněnými zákonnými či smluvními zástupci společnosti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či jejími dceřinými společnostmi, členy českého stavebního holdingu.</w:t>
      </w:r>
      <w:r>
        <w:rPr>
          <w:rFonts w:ascii="Times New Roman" w:hAnsi="Times New Roman" w:cs="Times New Roman"/>
          <w:sz w:val="15"/>
          <w:szCs w:val="15"/>
        </w:rPr>
        <w:br/>
      </w:r>
      <w:r>
        <w:rPr>
          <w:rFonts w:ascii="Times New Roman" w:hAnsi="Times New Roman" w:cs="Times New Roman"/>
          <w:b/>
          <w:bCs/>
          <w:sz w:val="15"/>
          <w:szCs w:val="15"/>
        </w:rPr>
        <w:t>Etická doložka</w:t>
      </w:r>
      <w:r>
        <w:rPr>
          <w:rFonts w:ascii="Times New Roman" w:hAnsi="Times New Roman" w:cs="Times New Roman"/>
          <w:sz w:val="15"/>
          <w:szCs w:val="15"/>
        </w:rPr>
        <w:t xml:space="preserve"> -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zavazuje všechny dceřiné společnosti skupiny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 český stavební holding dodržovat zásady Etického kodexu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jednat a činit veškerá opatření k zamezení a předcházení páchání protiprávního jednání společností, jejími zaměstnanci a jejími součástmi.</w:t>
      </w:r>
      <w:r>
        <w:rPr>
          <w:rFonts w:ascii="Times New Roman" w:hAnsi="Times New Roman" w:cs="Times New Roman"/>
          <w:sz w:val="15"/>
          <w:szCs w:val="15"/>
        </w:rPr>
        <w:br/>
        <w:t xml:space="preserve">S požadavkem výhradně právně souladného jednání zároveň vyzývá všechny obchodní partnery k pravidelnému sledování webových stránek </w:t>
      </w:r>
      <w:hyperlink r:id="rId13" w:history="1">
        <w:r>
          <w:rPr>
            <w:rStyle w:val="Hypertextovodkaz"/>
            <w:rFonts w:ascii="Times New Roman" w:hAnsi="Times New Roman" w:cs="Times New Roman"/>
            <w:sz w:val="15"/>
            <w:szCs w:val="15"/>
          </w:rPr>
          <w:t>www.enteria.cz</w:t>
        </w:r>
      </w:hyperlink>
      <w:r>
        <w:rPr>
          <w:rFonts w:ascii="Times New Roman" w:hAnsi="Times New Roman" w:cs="Times New Roman"/>
          <w:sz w:val="15"/>
          <w:szCs w:val="15"/>
        </w:rPr>
        <w:t xml:space="preserve"> a seznamování se s aktuálním zněním Etického kodexu společnosti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zde uvedeným.</w:t>
      </w:r>
    </w:p>
    <w:p w:rsidR="002314B1" w:rsidRDefault="002314B1" w:rsidP="00647F95"/>
    <w:p w:rsidR="00BD18FE" w:rsidRPr="001E4CD3" w:rsidRDefault="00BD18FE" w:rsidP="002314B1"/>
    <w:sectPr w:rsidR="00BD18FE" w:rsidRPr="001E4CD3" w:rsidSect="008F114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D0" w:rsidRDefault="000F49D0" w:rsidP="00E544B4">
      <w:pPr>
        <w:spacing w:after="0" w:line="240" w:lineRule="auto"/>
      </w:pPr>
      <w:r>
        <w:separator/>
      </w:r>
    </w:p>
  </w:endnote>
  <w:endnote w:type="continuationSeparator" w:id="0">
    <w:p w:rsidR="000F49D0" w:rsidRDefault="000F49D0" w:rsidP="00E5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D0" w:rsidRDefault="000F49D0" w:rsidP="00E544B4">
      <w:pPr>
        <w:spacing w:after="0" w:line="240" w:lineRule="auto"/>
      </w:pPr>
      <w:r>
        <w:separator/>
      </w:r>
    </w:p>
  </w:footnote>
  <w:footnote w:type="continuationSeparator" w:id="0">
    <w:p w:rsidR="000F49D0" w:rsidRDefault="000F49D0" w:rsidP="00E5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FE" w:rsidRDefault="00BD18FE">
    <w:pPr>
      <w:pStyle w:val="Zhlav"/>
    </w:pPr>
  </w:p>
  <w:p w:rsidR="00BD18FE" w:rsidRDefault="00BD18FE" w:rsidP="00E544B4">
    <w:pPr>
      <w:pStyle w:val="Zhlav"/>
    </w:pPr>
    <w:r>
      <w:rPr>
        <w:noProof/>
        <w:color w:val="0000FF"/>
      </w:rPr>
      <w:drawing>
        <wp:anchor distT="0" distB="0" distL="114300" distR="114300" simplePos="0" relativeHeight="251659264" behindDoc="1" locked="0" layoutInCell="1" allowOverlap="1">
          <wp:simplePos x="0" y="0"/>
          <wp:positionH relativeFrom="column">
            <wp:posOffset>3719830</wp:posOffset>
          </wp:positionH>
          <wp:positionV relativeFrom="paragraph">
            <wp:posOffset>-97155</wp:posOffset>
          </wp:positionV>
          <wp:extent cx="2752725" cy="1123950"/>
          <wp:effectExtent l="19050" t="0" r="9525" b="0"/>
          <wp:wrapThrough wrapText="bothSides">
            <wp:wrapPolygon edited="0">
              <wp:start x="-149" y="0"/>
              <wp:lineTo x="-149" y="21234"/>
              <wp:lineTo x="21675" y="21234"/>
              <wp:lineTo x="21675" y="0"/>
              <wp:lineTo x="-149" y="0"/>
            </wp:wrapPolygon>
          </wp:wrapThrough>
          <wp:docPr id="1" name="irc_mi" descr="http://www.mas-trebonsko.cz/files/PRV_logo%5b1%5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s-trebonsko.cz/files/PRV_logo%5b1%5d.jpg">
                    <a:hlinkClick r:id="rId1"/>
                  </pic:cNvPr>
                  <pic:cNvPicPr>
                    <a:picLocks noChangeAspect="1" noChangeArrowheads="1"/>
                  </pic:cNvPicPr>
                </pic:nvPicPr>
                <pic:blipFill>
                  <a:blip r:embed="rId2"/>
                  <a:srcRect/>
                  <a:stretch>
                    <a:fillRect/>
                  </a:stretch>
                </pic:blipFill>
                <pic:spPr bwMode="auto">
                  <a:xfrm>
                    <a:off x="0" y="0"/>
                    <a:ext cx="2752725" cy="1123950"/>
                  </a:xfrm>
                  <a:prstGeom prst="rect">
                    <a:avLst/>
                  </a:prstGeom>
                  <a:noFill/>
                  <a:ln w="9525">
                    <a:noFill/>
                    <a:miter lim="800000"/>
                    <a:headEnd/>
                    <a:tailEnd/>
                  </a:ln>
                </pic:spPr>
              </pic:pic>
            </a:graphicData>
          </a:graphic>
        </wp:anchor>
      </w:drawing>
    </w:r>
  </w:p>
  <w:p w:rsidR="00BD18FE" w:rsidRDefault="00BD18FE" w:rsidP="00E544B4">
    <w:pPr>
      <w:pStyle w:val="Zhlav"/>
    </w:pPr>
    <w:r>
      <w:rPr>
        <w:noProof/>
      </w:rPr>
      <w:drawing>
        <wp:inline distT="0" distB="0" distL="0" distR="0">
          <wp:extent cx="3084350" cy="600075"/>
          <wp:effectExtent l="19050" t="0" r="1750" b="0"/>
          <wp:docPr id="2" name="Obrázek 7" descr="eu_pr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prv_logo.png"/>
                  <pic:cNvPicPr/>
                </pic:nvPicPr>
                <pic:blipFill>
                  <a:blip r:embed="rId3"/>
                  <a:stretch>
                    <a:fillRect/>
                  </a:stretch>
                </pic:blipFill>
                <pic:spPr>
                  <a:xfrm>
                    <a:off x="0" y="0"/>
                    <a:ext cx="3083330" cy="599877"/>
                  </a:xfrm>
                  <a:prstGeom prst="rect">
                    <a:avLst/>
                  </a:prstGeom>
                </pic:spPr>
              </pic:pic>
            </a:graphicData>
          </a:graphic>
        </wp:inline>
      </w:drawing>
    </w:r>
  </w:p>
  <w:p w:rsidR="00BD18FE" w:rsidRDefault="00BD18FE" w:rsidP="00E544B4">
    <w:pPr>
      <w:pStyle w:val="Zhlav"/>
    </w:pPr>
  </w:p>
  <w:p w:rsidR="00BD18FE" w:rsidRDefault="00BD18FE" w:rsidP="00E544B4">
    <w:pPr>
      <w:pStyle w:val="Zhlav"/>
    </w:pPr>
  </w:p>
  <w:p w:rsidR="00BD18FE" w:rsidRDefault="00BD18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20A"/>
    <w:multiLevelType w:val="hybridMultilevel"/>
    <w:tmpl w:val="60B4660C"/>
    <w:lvl w:ilvl="0" w:tplc="705621DC">
      <w:numFmt w:val="bullet"/>
      <w:lvlText w:val="-"/>
      <w:lvlJc w:val="left"/>
      <w:pPr>
        <w:ind w:left="720" w:hanging="360"/>
      </w:pPr>
      <w:rPr>
        <w:rFonts w:ascii="Consolas" w:eastAsiaTheme="minorHAnsi" w:hAnsi="Consolas" w:cs="Consola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5C1D08"/>
    <w:multiLevelType w:val="hybridMultilevel"/>
    <w:tmpl w:val="64B4C1DE"/>
    <w:lvl w:ilvl="0" w:tplc="0BDAE6F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4E5587"/>
    <w:multiLevelType w:val="multilevel"/>
    <w:tmpl w:val="C7D846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820AAA"/>
    <w:multiLevelType w:val="hybridMultilevel"/>
    <w:tmpl w:val="0C2066C0"/>
    <w:lvl w:ilvl="0" w:tplc="BFD6EB94">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3148D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5"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0444EF"/>
    <w:multiLevelType w:val="hybridMultilevel"/>
    <w:tmpl w:val="835498DC"/>
    <w:lvl w:ilvl="0" w:tplc="4D5C1EBC">
      <w:start w:val="41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1F32A3"/>
    <w:multiLevelType w:val="hybridMultilevel"/>
    <w:tmpl w:val="5FDCD2D0"/>
    <w:lvl w:ilvl="0" w:tplc="637E2E9C">
      <w:start w:val="2"/>
      <w:numFmt w:val="bullet"/>
      <w:lvlText w:val=""/>
      <w:lvlJc w:val="left"/>
      <w:pPr>
        <w:ind w:left="390" w:hanging="360"/>
      </w:pPr>
      <w:rPr>
        <w:rFonts w:ascii="Wingdings" w:eastAsia="Calibri" w:hAnsi="Wingdings" w:cs="Arial"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7" w15:restartNumberingAfterBreak="0">
    <w:nsid w:val="419F3656"/>
    <w:multiLevelType w:val="hybridMultilevel"/>
    <w:tmpl w:val="7598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941B1E"/>
    <w:multiLevelType w:val="hybridMultilevel"/>
    <w:tmpl w:val="86F4D1F0"/>
    <w:lvl w:ilvl="0" w:tplc="C7BAA0C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BD6044"/>
    <w:multiLevelType w:val="hybridMultilevel"/>
    <w:tmpl w:val="7478BD06"/>
    <w:lvl w:ilvl="0" w:tplc="107CCCE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771D12"/>
    <w:multiLevelType w:val="hybridMultilevel"/>
    <w:tmpl w:val="D70CA2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3"/>
  </w:num>
  <w:num w:numId="6">
    <w:abstractNumId w:val="8"/>
  </w:num>
  <w:num w:numId="7">
    <w:abstractNumId w:val="7"/>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B4"/>
    <w:rsid w:val="00006B5B"/>
    <w:rsid w:val="000247ED"/>
    <w:rsid w:val="000303FF"/>
    <w:rsid w:val="000304CE"/>
    <w:rsid w:val="0005015C"/>
    <w:rsid w:val="0008364B"/>
    <w:rsid w:val="000A7323"/>
    <w:rsid w:val="000B18CF"/>
    <w:rsid w:val="000C0463"/>
    <w:rsid w:val="000E3B2E"/>
    <w:rsid w:val="000F49D0"/>
    <w:rsid w:val="001060FD"/>
    <w:rsid w:val="001072A9"/>
    <w:rsid w:val="0012372A"/>
    <w:rsid w:val="00141AC8"/>
    <w:rsid w:val="00150E95"/>
    <w:rsid w:val="001841D8"/>
    <w:rsid w:val="001B18D4"/>
    <w:rsid w:val="001D507E"/>
    <w:rsid w:val="001E4CD3"/>
    <w:rsid w:val="00201B96"/>
    <w:rsid w:val="00217ABA"/>
    <w:rsid w:val="002209F0"/>
    <w:rsid w:val="002314B1"/>
    <w:rsid w:val="002346CA"/>
    <w:rsid w:val="0024223C"/>
    <w:rsid w:val="00265BC4"/>
    <w:rsid w:val="00280B6A"/>
    <w:rsid w:val="0028374E"/>
    <w:rsid w:val="002D7509"/>
    <w:rsid w:val="00311CD9"/>
    <w:rsid w:val="00315B2E"/>
    <w:rsid w:val="00330DB7"/>
    <w:rsid w:val="00336ED6"/>
    <w:rsid w:val="003476DD"/>
    <w:rsid w:val="00350648"/>
    <w:rsid w:val="00361D8A"/>
    <w:rsid w:val="0036232C"/>
    <w:rsid w:val="00364957"/>
    <w:rsid w:val="00391B3B"/>
    <w:rsid w:val="003A1165"/>
    <w:rsid w:val="003A416E"/>
    <w:rsid w:val="003D2278"/>
    <w:rsid w:val="003D4952"/>
    <w:rsid w:val="003E54A4"/>
    <w:rsid w:val="00400F15"/>
    <w:rsid w:val="004135BF"/>
    <w:rsid w:val="00422F47"/>
    <w:rsid w:val="00434B6E"/>
    <w:rsid w:val="00435FD3"/>
    <w:rsid w:val="0045326F"/>
    <w:rsid w:val="00463D21"/>
    <w:rsid w:val="00484452"/>
    <w:rsid w:val="00493583"/>
    <w:rsid w:val="004B6066"/>
    <w:rsid w:val="004C7233"/>
    <w:rsid w:val="004D2A0B"/>
    <w:rsid w:val="004E29DB"/>
    <w:rsid w:val="00522CE9"/>
    <w:rsid w:val="005303BC"/>
    <w:rsid w:val="005543EE"/>
    <w:rsid w:val="005611D5"/>
    <w:rsid w:val="005669DD"/>
    <w:rsid w:val="005710A1"/>
    <w:rsid w:val="00577880"/>
    <w:rsid w:val="00580B9C"/>
    <w:rsid w:val="005842A1"/>
    <w:rsid w:val="005A539A"/>
    <w:rsid w:val="005A7C9A"/>
    <w:rsid w:val="005C03C4"/>
    <w:rsid w:val="005E1D53"/>
    <w:rsid w:val="005F738D"/>
    <w:rsid w:val="00602852"/>
    <w:rsid w:val="0060425D"/>
    <w:rsid w:val="006207A8"/>
    <w:rsid w:val="006225F8"/>
    <w:rsid w:val="0062405B"/>
    <w:rsid w:val="00636C3F"/>
    <w:rsid w:val="00647F95"/>
    <w:rsid w:val="00674F1A"/>
    <w:rsid w:val="006843A9"/>
    <w:rsid w:val="00686EC4"/>
    <w:rsid w:val="006A2A5A"/>
    <w:rsid w:val="006C2027"/>
    <w:rsid w:val="006C5A07"/>
    <w:rsid w:val="007059C1"/>
    <w:rsid w:val="00716F18"/>
    <w:rsid w:val="00765982"/>
    <w:rsid w:val="00777381"/>
    <w:rsid w:val="00796798"/>
    <w:rsid w:val="007A4846"/>
    <w:rsid w:val="007A6423"/>
    <w:rsid w:val="007E724B"/>
    <w:rsid w:val="007F5312"/>
    <w:rsid w:val="00807221"/>
    <w:rsid w:val="00814659"/>
    <w:rsid w:val="00814698"/>
    <w:rsid w:val="008448C2"/>
    <w:rsid w:val="008500AD"/>
    <w:rsid w:val="00850911"/>
    <w:rsid w:val="00851884"/>
    <w:rsid w:val="008560CA"/>
    <w:rsid w:val="00861710"/>
    <w:rsid w:val="008619E0"/>
    <w:rsid w:val="00864B1F"/>
    <w:rsid w:val="008B0EBD"/>
    <w:rsid w:val="008B1173"/>
    <w:rsid w:val="008F1141"/>
    <w:rsid w:val="009148F1"/>
    <w:rsid w:val="0092275A"/>
    <w:rsid w:val="0093245C"/>
    <w:rsid w:val="00951CF2"/>
    <w:rsid w:val="0095202B"/>
    <w:rsid w:val="0095658B"/>
    <w:rsid w:val="0095774D"/>
    <w:rsid w:val="009917DF"/>
    <w:rsid w:val="0099354C"/>
    <w:rsid w:val="009A69B7"/>
    <w:rsid w:val="009C3E52"/>
    <w:rsid w:val="00A0366A"/>
    <w:rsid w:val="00A5253A"/>
    <w:rsid w:val="00A646E8"/>
    <w:rsid w:val="00A712E0"/>
    <w:rsid w:val="00A90971"/>
    <w:rsid w:val="00AA1789"/>
    <w:rsid w:val="00B327FB"/>
    <w:rsid w:val="00B35F1A"/>
    <w:rsid w:val="00B42540"/>
    <w:rsid w:val="00B56E5D"/>
    <w:rsid w:val="00B57247"/>
    <w:rsid w:val="00B673CB"/>
    <w:rsid w:val="00B8122A"/>
    <w:rsid w:val="00B90525"/>
    <w:rsid w:val="00B96F4A"/>
    <w:rsid w:val="00BD18FE"/>
    <w:rsid w:val="00BD5478"/>
    <w:rsid w:val="00BE5104"/>
    <w:rsid w:val="00BF051A"/>
    <w:rsid w:val="00BF4A95"/>
    <w:rsid w:val="00BF5DEA"/>
    <w:rsid w:val="00C16B26"/>
    <w:rsid w:val="00C4409A"/>
    <w:rsid w:val="00C57D79"/>
    <w:rsid w:val="00C770E9"/>
    <w:rsid w:val="00C84D46"/>
    <w:rsid w:val="00C84FCB"/>
    <w:rsid w:val="00C97C83"/>
    <w:rsid w:val="00CA0A15"/>
    <w:rsid w:val="00CC0D76"/>
    <w:rsid w:val="00CC43B9"/>
    <w:rsid w:val="00D11E96"/>
    <w:rsid w:val="00D2791F"/>
    <w:rsid w:val="00D46285"/>
    <w:rsid w:val="00D74830"/>
    <w:rsid w:val="00D80C6B"/>
    <w:rsid w:val="00DA0C83"/>
    <w:rsid w:val="00DA31C7"/>
    <w:rsid w:val="00DC781F"/>
    <w:rsid w:val="00DD6EBD"/>
    <w:rsid w:val="00DD74DB"/>
    <w:rsid w:val="00DE72A6"/>
    <w:rsid w:val="00DF18FE"/>
    <w:rsid w:val="00E003F3"/>
    <w:rsid w:val="00E034DC"/>
    <w:rsid w:val="00E0767E"/>
    <w:rsid w:val="00E24CE0"/>
    <w:rsid w:val="00E33743"/>
    <w:rsid w:val="00E443AA"/>
    <w:rsid w:val="00E46397"/>
    <w:rsid w:val="00E544B4"/>
    <w:rsid w:val="00E63457"/>
    <w:rsid w:val="00E90380"/>
    <w:rsid w:val="00EA45AF"/>
    <w:rsid w:val="00EB5814"/>
    <w:rsid w:val="00EE3752"/>
    <w:rsid w:val="00EE5734"/>
    <w:rsid w:val="00EF43BA"/>
    <w:rsid w:val="00F17A82"/>
    <w:rsid w:val="00F2531D"/>
    <w:rsid w:val="00F36C57"/>
    <w:rsid w:val="00F82767"/>
    <w:rsid w:val="00F827EE"/>
    <w:rsid w:val="00F8356D"/>
    <w:rsid w:val="00F83C0F"/>
    <w:rsid w:val="00F92DA4"/>
    <w:rsid w:val="00F93703"/>
    <w:rsid w:val="00FE2E4A"/>
    <w:rsid w:val="00FF348A"/>
    <w:rsid w:val="00FF5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EEE0"/>
  <w15:docId w15:val="{5AF14869-87B8-4C06-A6CD-A82A9501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4FCB"/>
  </w:style>
  <w:style w:type="paragraph" w:styleId="Nadpis2">
    <w:name w:val="heading 2"/>
    <w:basedOn w:val="Normln"/>
    <w:next w:val="Normln"/>
    <w:link w:val="Nadpis2Char"/>
    <w:uiPriority w:val="9"/>
    <w:unhideWhenUsed/>
    <w:qFormat/>
    <w:rsid w:val="00BD18F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44B4"/>
    <w:pPr>
      <w:tabs>
        <w:tab w:val="center" w:pos="4536"/>
        <w:tab w:val="right" w:pos="9072"/>
      </w:tabs>
      <w:spacing w:after="0" w:line="240" w:lineRule="auto"/>
    </w:pPr>
    <w:rPr>
      <w:rFonts w:ascii="Arial" w:eastAsia="Calibri" w:hAnsi="Arial" w:cs="Times New Roman"/>
    </w:rPr>
  </w:style>
  <w:style w:type="character" w:customStyle="1" w:styleId="ZhlavChar">
    <w:name w:val="Záhlaví Char"/>
    <w:basedOn w:val="Standardnpsmoodstavce"/>
    <w:link w:val="Zhlav"/>
    <w:uiPriority w:val="99"/>
    <w:rsid w:val="00E544B4"/>
    <w:rPr>
      <w:rFonts w:ascii="Arial" w:eastAsia="Calibri" w:hAnsi="Arial" w:cs="Times New Roman"/>
    </w:rPr>
  </w:style>
  <w:style w:type="paragraph" w:styleId="Zpat">
    <w:name w:val="footer"/>
    <w:basedOn w:val="Normln"/>
    <w:link w:val="ZpatChar"/>
    <w:uiPriority w:val="99"/>
    <w:semiHidden/>
    <w:unhideWhenUsed/>
    <w:rsid w:val="00E544B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544B4"/>
  </w:style>
  <w:style w:type="paragraph" w:customStyle="1" w:styleId="Default">
    <w:name w:val="Default"/>
    <w:rsid w:val="00E544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rosttext">
    <w:name w:val="Plain Text"/>
    <w:basedOn w:val="Normln"/>
    <w:link w:val="ProsttextChar"/>
    <w:uiPriority w:val="99"/>
    <w:unhideWhenUsed/>
    <w:rsid w:val="00716F18"/>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716F18"/>
    <w:rPr>
      <w:rFonts w:ascii="Consolas" w:hAnsi="Consolas" w:cs="Consolas"/>
      <w:sz w:val="21"/>
      <w:szCs w:val="21"/>
    </w:rPr>
  </w:style>
  <w:style w:type="paragraph" w:styleId="Odstavecseseznamem">
    <w:name w:val="List Paragraph"/>
    <w:basedOn w:val="Normln"/>
    <w:uiPriority w:val="34"/>
    <w:qFormat/>
    <w:rsid w:val="007F5312"/>
    <w:pPr>
      <w:spacing w:after="0" w:line="240" w:lineRule="auto"/>
      <w:ind w:left="720"/>
      <w:contextualSpacing/>
    </w:pPr>
    <w:rPr>
      <w:rFonts w:ascii="Arial" w:eastAsia="Calibri" w:hAnsi="Arial" w:cs="Times New Roman"/>
    </w:rPr>
  </w:style>
  <w:style w:type="paragraph" w:styleId="Textbubliny">
    <w:name w:val="Balloon Text"/>
    <w:basedOn w:val="Normln"/>
    <w:link w:val="TextbublinyChar"/>
    <w:uiPriority w:val="99"/>
    <w:semiHidden/>
    <w:unhideWhenUsed/>
    <w:rsid w:val="00DC7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781F"/>
    <w:rPr>
      <w:rFonts w:ascii="Tahoma" w:hAnsi="Tahoma" w:cs="Tahoma"/>
      <w:sz w:val="16"/>
      <w:szCs w:val="16"/>
    </w:rPr>
  </w:style>
  <w:style w:type="character" w:customStyle="1" w:styleId="Nadpis2Char">
    <w:name w:val="Nadpis 2 Char"/>
    <w:basedOn w:val="Standardnpsmoodstavce"/>
    <w:link w:val="Nadpis2"/>
    <w:uiPriority w:val="9"/>
    <w:rsid w:val="00BD18FE"/>
    <w:rPr>
      <w:rFonts w:asciiTheme="majorHAnsi" w:eastAsiaTheme="majorEastAsia" w:hAnsiTheme="majorHAnsi" w:cstheme="majorBidi"/>
      <w:color w:val="365F91" w:themeColor="accent1" w:themeShade="BF"/>
      <w:sz w:val="26"/>
      <w:szCs w:val="26"/>
      <w:lang w:val="en-GB" w:eastAsia="en-US"/>
    </w:rPr>
  </w:style>
  <w:style w:type="character" w:styleId="Hypertextovodkaz">
    <w:name w:val="Hyperlink"/>
    <w:basedOn w:val="Standardnpsmoodstavce"/>
    <w:uiPriority w:val="99"/>
    <w:semiHidden/>
    <w:unhideWhenUsed/>
    <w:rsid w:val="00315B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5048">
      <w:bodyDiv w:val="1"/>
      <w:marLeft w:val="0"/>
      <w:marRight w:val="0"/>
      <w:marTop w:val="0"/>
      <w:marBottom w:val="0"/>
      <w:divBdr>
        <w:top w:val="none" w:sz="0" w:space="0" w:color="auto"/>
        <w:left w:val="none" w:sz="0" w:space="0" w:color="auto"/>
        <w:bottom w:val="none" w:sz="0" w:space="0" w:color="auto"/>
        <w:right w:val="none" w:sz="0" w:space="0" w:color="auto"/>
      </w:divBdr>
    </w:div>
    <w:div w:id="479200455">
      <w:bodyDiv w:val="1"/>
      <w:marLeft w:val="0"/>
      <w:marRight w:val="0"/>
      <w:marTop w:val="0"/>
      <w:marBottom w:val="0"/>
      <w:divBdr>
        <w:top w:val="none" w:sz="0" w:space="0" w:color="auto"/>
        <w:left w:val="none" w:sz="0" w:space="0" w:color="auto"/>
        <w:bottom w:val="none" w:sz="0" w:space="0" w:color="auto"/>
        <w:right w:val="none" w:sz="0" w:space="0" w:color="auto"/>
      </w:divBdr>
    </w:div>
    <w:div w:id="797995992">
      <w:bodyDiv w:val="1"/>
      <w:marLeft w:val="0"/>
      <w:marRight w:val="0"/>
      <w:marTop w:val="0"/>
      <w:marBottom w:val="0"/>
      <w:divBdr>
        <w:top w:val="none" w:sz="0" w:space="0" w:color="auto"/>
        <w:left w:val="none" w:sz="0" w:space="0" w:color="auto"/>
        <w:bottom w:val="none" w:sz="0" w:space="0" w:color="auto"/>
        <w:right w:val="none" w:sz="0" w:space="0" w:color="auto"/>
      </w:divBdr>
    </w:div>
    <w:div w:id="1040283850">
      <w:bodyDiv w:val="1"/>
      <w:marLeft w:val="0"/>
      <w:marRight w:val="0"/>
      <w:marTop w:val="0"/>
      <w:marBottom w:val="0"/>
      <w:divBdr>
        <w:top w:val="none" w:sz="0" w:space="0" w:color="auto"/>
        <w:left w:val="none" w:sz="0" w:space="0" w:color="auto"/>
        <w:bottom w:val="none" w:sz="0" w:space="0" w:color="auto"/>
        <w:right w:val="none" w:sz="0" w:space="0" w:color="auto"/>
      </w:divBdr>
    </w:div>
    <w:div w:id="1232811789">
      <w:bodyDiv w:val="1"/>
      <w:marLeft w:val="0"/>
      <w:marRight w:val="0"/>
      <w:marTop w:val="0"/>
      <w:marBottom w:val="0"/>
      <w:divBdr>
        <w:top w:val="none" w:sz="0" w:space="0" w:color="auto"/>
        <w:left w:val="none" w:sz="0" w:space="0" w:color="auto"/>
        <w:bottom w:val="none" w:sz="0" w:space="0" w:color="auto"/>
        <w:right w:val="none" w:sz="0" w:space="0" w:color="auto"/>
      </w:divBdr>
    </w:div>
    <w:div w:id="1584802324">
      <w:bodyDiv w:val="1"/>
      <w:marLeft w:val="0"/>
      <w:marRight w:val="0"/>
      <w:marTop w:val="0"/>
      <w:marBottom w:val="0"/>
      <w:divBdr>
        <w:top w:val="none" w:sz="0" w:space="0" w:color="auto"/>
        <w:left w:val="none" w:sz="0" w:space="0" w:color="auto"/>
        <w:bottom w:val="none" w:sz="0" w:space="0" w:color="auto"/>
        <w:right w:val="none" w:sz="0" w:space="0" w:color="auto"/>
      </w:divBdr>
    </w:div>
    <w:div w:id="1933001675">
      <w:bodyDiv w:val="1"/>
      <w:marLeft w:val="0"/>
      <w:marRight w:val="0"/>
      <w:marTop w:val="0"/>
      <w:marBottom w:val="0"/>
      <w:divBdr>
        <w:top w:val="none" w:sz="0" w:space="0" w:color="auto"/>
        <w:left w:val="none" w:sz="0" w:space="0" w:color="auto"/>
        <w:bottom w:val="none" w:sz="0" w:space="0" w:color="auto"/>
        <w:right w:val="none" w:sz="0" w:space="0" w:color="auto"/>
      </w:divBdr>
    </w:div>
    <w:div w:id="1949042340">
      <w:bodyDiv w:val="1"/>
      <w:marLeft w:val="0"/>
      <w:marRight w:val="0"/>
      <w:marTop w:val="0"/>
      <w:marBottom w:val="0"/>
      <w:divBdr>
        <w:top w:val="none" w:sz="0" w:space="0" w:color="auto"/>
        <w:left w:val="none" w:sz="0" w:space="0" w:color="auto"/>
        <w:bottom w:val="none" w:sz="0" w:space="0" w:color="auto"/>
        <w:right w:val="none" w:sz="0" w:space="0" w:color="auto"/>
      </w:divBdr>
    </w:div>
    <w:div w:id="21103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JSN.showCompanyDetailPanel('131420')" TargetMode="External"/><Relationship Id="rId13" Type="http://schemas.openxmlformats.org/officeDocument/2006/relationships/hyperlink" Target="http://www.enteria.cz" TargetMode="External"/><Relationship Id="rId3" Type="http://schemas.openxmlformats.org/officeDocument/2006/relationships/settings" Target="settings.xml"/><Relationship Id="rId7" Type="http://schemas.openxmlformats.org/officeDocument/2006/relationships/hyperlink" Target="mailto:Vladimir.Vydra@cht-pce.cz" TargetMode="External"/><Relationship Id="rId12" Type="http://schemas.openxmlformats.org/officeDocument/2006/relationships/hyperlink" Target="http://www.cht-pc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adimir.vydra@cht-pc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5FE92.7E33EC3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z/url?sa=i&amp;rct=j&amp;q=&amp;esrc=s&amp;source=images&amp;cd=&amp;cad=rja&amp;uact=8&amp;ved=0CAcQjRxqFQoTCOWfyuTgoMgCFco_FAod2JIESw&amp;url=http://www.mas-trebonsko.cz/?loga-pro-zpracovani-publicity-ke-stazeni,109&amp;psig=AFQjCNEir7uAl-E9KaAxmo_-fqnYiPIgew&amp;ust=144377113923204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2047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GEA Group</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dc:creator>
  <cp:lastModifiedBy>Kateřina Sejková</cp:lastModifiedBy>
  <cp:revision>3</cp:revision>
  <dcterms:created xsi:type="dcterms:W3CDTF">2020-03-20T16:51:00Z</dcterms:created>
  <dcterms:modified xsi:type="dcterms:W3CDTF">2020-03-20T16:53:00Z</dcterms:modified>
</cp:coreProperties>
</file>